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4622">
      <w:pPr>
        <w:pageBreakBefore w:val="0"/>
        <w:wordWrap/>
        <w:spacing w:before="160" w:after="0"/>
        <w:ind w:left="0" w:right="0"/>
        <w:jc w:val="center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医院智慧后勤服务系统原型设计说明</w:t>
      </w:r>
    </w:p>
    <w:p w14:paraId="4068F7F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一、 全场景报修与需求端（面向全院职工）</w:t>
      </w:r>
    </w:p>
    <w:p w14:paraId="04133D3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核心交互目标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：极简操作、信息自动获取、进度透明。</w:t>
      </w:r>
    </w:p>
    <w:p w14:paraId="0D01E211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移动端（企微/小程序）首页</w:t>
      </w:r>
    </w:p>
    <w:p w14:paraId="4D10FFAD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：顶部为医院Logo与公告轮播；中部为“金刚区”图标导航（一键报修、进度查询、扫码报修、满意度评价）；底部为“我的工单”列表（按状态分类Tab：待处理、处理中、已完成）。</w:t>
      </w:r>
    </w:p>
    <w:p w14:paraId="24AD3A08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：点击“一键报修”进入表单页。表单支持语音输入，点击麦克风图标长按录音，松开后自动转文字填入描述框。</w:t>
      </w:r>
    </w:p>
    <w:p w14:paraId="5D2C6611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扫码报修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：调用摄像头扫描设备专属二维码，自动带出设备名称、位置、型号，用户仅需补充故障描述并拍照即可提交。</w:t>
      </w:r>
    </w:p>
    <w:p w14:paraId="4E1EA242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PC端医生工作站（悬浮球组件）</w:t>
      </w:r>
      <w:bookmarkStart w:id="0" w:name="_GoBack"/>
      <w:bookmarkEnd w:id="0"/>
    </w:p>
    <w:p w14:paraId="11440385">
      <w:pPr>
        <w:pageBreakBefore w:val="0"/>
        <w:numPr>
          <w:ilvl w:val="1"/>
          <w:numId w:val="3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：在HIS/EMR等系统界面右下角悬浮一个半透明、可拖拽的“后勤服务”小图标。</w:t>
      </w:r>
    </w:p>
    <w:p w14:paraId="3B376A94">
      <w:pPr>
        <w:pageBreakBefore w:val="0"/>
        <w:numPr>
          <w:ilvl w:val="1"/>
          <w:numId w:val="3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点击悬浮球展开快捷菜单，选择“快捷截屏报错”。此时鼠标变为十字光标，用户框选屏幕报错区域，系统后台自动抓取当前系统版本号、浏览器信息、操作人信息，弹出极简报障窗口，用户只需一句话描述即可提交。</w:t>
      </w:r>
    </w:p>
    <w:p w14:paraId="5355CFC4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二、 智能调度与工单管理端（面向调度中心/后勤主管）</w:t>
      </w:r>
    </w:p>
    <w:p w14:paraId="3F0F906D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核心交互目标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：全局掌控、智能路由、异常预警。</w:t>
      </w:r>
    </w:p>
    <w:p w14:paraId="54EC6FA1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一站式调度指挥大屏（Dashboard）</w:t>
      </w:r>
    </w:p>
    <w:p w14:paraId="2E1AB3AA">
      <w:pPr>
        <w:pageBreakBefore w:val="0"/>
        <w:numPr>
          <w:ilvl w:val="1"/>
          <w:numId w:val="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采用深色科技风背景。左侧展示全院BIM三维模型，通过热力图显示当前报修密集区域；中间核心区域为“实时工单滚动列表”与“超时/紧急工单高亮闪烁区”；右侧展示人员在线状态与今日核心指标（响应率、完工率）。</w:t>
      </w:r>
    </w:p>
    <w:p w14:paraId="64F8640E">
      <w:pPr>
        <w:pageBreakBefore w:val="0"/>
        <w:numPr>
          <w:ilvl w:val="1"/>
          <w:numId w:val="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：点击BIM模型上的告警红点，自动弹出该位置的监控视频与关联工单详情。</w:t>
      </w:r>
    </w:p>
    <w:p w14:paraId="5A45C7B9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工单处理工作台（PC端）</w:t>
      </w:r>
    </w:p>
    <w:p w14:paraId="73EC624F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：左侧为工单列表（支持按状态、科室、紧急程度多维筛选）；右侧为工单详情面板（包含报修信息、流转时间轴、现场照片、耗材登记区）。</w:t>
      </w:r>
    </w:p>
    <w:p w14:paraId="45316DB4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：支持拖拽派单。调度员将左侧的工单卡片直接拖拽至右侧的“维修人员列表”中，系统弹出确认框，确认后通过企微自动推送消息。支持在详情页直接点击“转第三方”，选择外包公司并填写预估费用。</w:t>
      </w:r>
    </w:p>
    <w:p w14:paraId="6F17204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三、 物资与固定资产全生命周期管理端</w:t>
      </w:r>
    </w:p>
    <w:p w14:paraId="7544EC51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核心交互目标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：账实相符、全链路追溯、库存预警。</w:t>
      </w:r>
    </w:p>
    <w:p w14:paraId="6389BC1E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物资/资产档案详情页</w:t>
      </w:r>
    </w:p>
    <w:p w14:paraId="1D6F5442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：采用“基础信息卡片 + 动态时间轴”布局。上半部分展示设备/物资的图文信息、规格参数、财务原值；下半部分为“全生命周期流转时间轴”。</w:t>
      </w:r>
    </w:p>
    <w:p w14:paraId="08A1A6FE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：时间轴以垂直线条展示该资产从“采购入库 -&gt; 领用 -&gt; 维修 -&gt; 调拨 -&gt; 报废”的所有历史节点，点击任意节点可展开查看关联的单据凭证附件。</w:t>
      </w:r>
    </w:p>
    <w:p w14:paraId="132D92F0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出入库与采购计划工作台</w:t>
      </w:r>
    </w:p>
    <w:p w14:paraId="4B9A1B06">
      <w:pPr>
        <w:pageBreakBefore w:val="0"/>
        <w:numPr>
          <w:ilvl w:val="1"/>
          <w:numId w:val="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：表单与列表结合。当库存低于安全阈值时，列表顶部出现黄色“补货预警”横幅。</w:t>
      </w:r>
    </w:p>
    <w:p w14:paraId="232D2594">
      <w:pPr>
        <w:pageBreakBefore w:val="0"/>
        <w:numPr>
          <w:ilvl w:val="1"/>
          <w:numId w:val="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：点击“一键生成采购计划”，系统自动将低库存物资带入采购申请表单，用户修改数量与预算后直接发起审批流。出库操作支持PDA扫码枪扫描物资条码，自动扣减库存并关联当前维修工单。</w:t>
      </w:r>
    </w:p>
    <w:p w14:paraId="2B38E667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四、 第三方协同与结算端（面向外部服务商）</w:t>
      </w:r>
    </w:p>
    <w:p w14:paraId="14A4F77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核心交互目标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：免安装、安全隔离、业财一体。</w:t>
      </w:r>
    </w:p>
    <w:p w14:paraId="40C33659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第三方H5任务大厅</w:t>
      </w:r>
    </w:p>
    <w:p w14:paraId="317D8ECA">
      <w:pPr>
        <w:pageBreakBefore w:val="0"/>
        <w:numPr>
          <w:ilvl w:val="1"/>
          <w:numId w:val="11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：极简卡片式设计。展示“待接单”、“处理中”、“待验收”三个Tab。</w:t>
      </w:r>
    </w:p>
    <w:p w14:paraId="6A09BB82">
      <w:pPr>
        <w:pageBreakBefore w:val="0"/>
        <w:numPr>
          <w:ilvl w:val="1"/>
          <w:numId w:val="11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第三方人员通过企微消息卡片点击链接进入H5（Token鉴权，无需账号密码）。点击工单卡片进入详情页，底部固定悬浮操作按钮：“接受任务”、“提交报价/计划”、“完工打卡”。提交完工时需强制上传现场修复后的照片，并填写使用的耗材明细。</w:t>
      </w:r>
    </w:p>
    <w:p w14:paraId="14CFF8AC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院方验收与结算台</w:t>
      </w:r>
    </w:p>
    <w:p w14:paraId="346A6D32">
      <w:pPr>
        <w:pageBreakBefore w:val="0"/>
        <w:numPr>
          <w:ilvl w:val="1"/>
          <w:numId w:val="1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：待验收列表 + 结算单预览。</w:t>
      </w:r>
    </w:p>
    <w:p w14:paraId="61AC41C8">
      <w:pPr>
        <w:pageBreakBefore w:val="0"/>
        <w:numPr>
          <w:ilvl w:val="1"/>
          <w:numId w:val="1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：院方审核第三方上传的完工凭证，点击“验收通过”。系统自动根据协议价和填报工时，生成《第三方维修结算单》PDF预览，支持一键导出或推送至财务系统。</w:t>
      </w:r>
    </w:p>
    <w:p w14:paraId="3D3D4DC8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五、 后勤工作计划与年终统计端</w:t>
      </w:r>
    </w:p>
    <w:p w14:paraId="5CC038EE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核心交互目标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：目标拆解、进度追踪、数据可视化。</w:t>
      </w:r>
    </w:p>
    <w:p w14:paraId="6AD68693">
      <w:pPr>
        <w:pageBreakBefore w:val="0"/>
        <w:numPr>
          <w:ilvl w:val="0"/>
          <w:numId w:val="1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工作计划看板</w:t>
      </w:r>
    </w:p>
    <w:p w14:paraId="7BF3A28E">
      <w:pPr>
        <w:pageBreakBefore w:val="0"/>
        <w:numPr>
          <w:ilvl w:val="1"/>
          <w:numId w:val="1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：甘特图（Gantt Chart）视图与日历视图切换。</w:t>
      </w:r>
    </w:p>
    <w:p w14:paraId="7BBC7F0F">
      <w:pPr>
        <w:pageBreakBefore w:val="0"/>
        <w:numPr>
          <w:ilvl w:val="1"/>
          <w:numId w:val="1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：支持在甘特图上拖拽调整计划的开始与结束时间。点击某个计划任务，侧滑弹出详情抽屉，可上传阶段性汇报文件或关联已完成的工单。</w:t>
      </w:r>
    </w:p>
    <w:p w14:paraId="6A83A37F">
      <w:pPr>
        <w:pageBreakBefore w:val="0"/>
        <w:numPr>
          <w:ilvl w:val="0"/>
          <w:numId w:val="1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年度工作量与成本分析报表</w:t>
      </w:r>
    </w:p>
    <w:p w14:paraId="3D852864">
      <w:pPr>
        <w:pageBreakBefore w:val="0"/>
        <w:numPr>
          <w:ilvl w:val="1"/>
          <w:numId w:val="1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：多维度数据图表。包含科室维修成本柱状图、人员工时效能雷达图、故障类型饼图等。</w:t>
      </w:r>
    </w:p>
    <w:p w14:paraId="6CD7266D">
      <w:pPr>
        <w:pageBreakBefore w:val="0"/>
        <w:numPr>
          <w:ilvl w:val="1"/>
          <w:numId w:val="1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：所有图表支持“下钻”操作。例如点击某科室的维修成本柱体，自动展开该科室本月所有的维修工单明细与耗材领用明细。支持一键生成《年度后勤工作总结报告》Word/PDF文件。</w:t>
      </w:r>
    </w:p>
    <w:p w14:paraId="65D726F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六、 系统配置与权限管理端（面向系统管理员）</w:t>
      </w:r>
    </w:p>
    <w:p w14:paraId="75C4AB6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核心交互目标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：灵活配置、安全可控。</w:t>
      </w:r>
    </w:p>
    <w:p w14:paraId="04D66268">
      <w:pPr>
        <w:pageBreakBefore w:val="0"/>
        <w:numPr>
          <w:ilvl w:val="0"/>
          <w:numId w:val="1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可视化流程设计器</w:t>
      </w:r>
    </w:p>
    <w:p w14:paraId="3CFB03BF">
      <w:pPr>
        <w:pageBreakBefore w:val="0"/>
        <w:numPr>
          <w:ilvl w:val="1"/>
          <w:numId w:val="17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：左侧为组件库（发起人、审批节点、条件分支、抄送节点），中间为画布，右侧为属性配置面板。</w:t>
      </w:r>
    </w:p>
    <w:p w14:paraId="4B7B2DE2">
      <w:pPr>
        <w:pageBreakBefore w:val="0"/>
        <w:numPr>
          <w:ilvl w:val="1"/>
          <w:numId w:val="17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：采用拖拽连线方式搭建审批流。点击“条件分支”节点，右侧面板弹出规则配置器（如：当  且  时，流转至分管院长审批）。</w:t>
      </w:r>
    </w:p>
    <w:p w14:paraId="2038B4A1">
      <w:pPr>
        <w:pageBreakBefore w:val="0"/>
        <w:numPr>
          <w:ilvl w:val="0"/>
          <w:numId w:val="1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人员分工矩阵配置</w:t>
      </w:r>
    </w:p>
    <w:p w14:paraId="747FD973">
      <w:pPr>
        <w:pageBreakBefore w:val="0"/>
        <w:numPr>
          <w:ilvl w:val="1"/>
          <w:numId w:val="1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布局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：类似Excel的网格化表格。</w:t>
      </w:r>
    </w:p>
    <w:p w14:paraId="7EB34B0E">
      <w:pPr>
        <w:pageBreakBefore w:val="0"/>
        <w:numPr>
          <w:ilvl w:val="1"/>
          <w:numId w:val="1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交互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：支持批量导入与在线编辑。行代表员工（包含内部与第三方），列代表技能标签（强电、弱电、HIS系统等）与服务区域。勾选对应单元格即可完成派单规则的绑定。</w:t>
      </w:r>
    </w:p>
    <w:p w14:paraId="626E384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原型设计落地建议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76992BCD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在实际绘制Axure/Figma原型时，建议优先打通**“移动端报修 -&gt; 调度大屏派单 -&gt; 第三方H5接单 -&gt; 院方验收结算”**这条核心业务主线，将其作为V1.0版本的高保真原型进行内部演示与测试，后续再逐步完善资产台账、成本核算等复杂后台模块。</w:t>
      </w:r>
    </w:p>
    <w:p w14:paraId="3D1681F2">
      <w:pPr>
        <w:jc w:val="left"/>
      </w:pPr>
      <w:r>
        <w:t>(AI生成)</w:t>
      </w: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2BE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D50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5">
    <w:nsid w:val="D7F9FE59"/>
    <w:multiLevelType w:val="multilevel"/>
    <w:tmpl w:val="D7F9FE5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6">
    <w:nsid w:val="DCBA6B53"/>
    <w:multiLevelType w:val="multilevel"/>
    <w:tmpl w:val="DCBA6B53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7">
    <w:nsid w:val="F4B5D9F5"/>
    <w:multiLevelType w:val="multilevel"/>
    <w:tmpl w:val="F4B5D9F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8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9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0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1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3">
    <w:nsid w:val="2A8F537B"/>
    <w:multiLevelType w:val="multilevel"/>
    <w:tmpl w:val="2A8F537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4">
    <w:nsid w:val="4D4DC07F"/>
    <w:multiLevelType w:val="multilevel"/>
    <w:tmpl w:val="4D4DC07F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5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6">
    <w:nsid w:val="5A241D34"/>
    <w:multiLevelType w:val="multilevel"/>
    <w:tmpl w:val="5A241D3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7">
    <w:nsid w:val="72183CF9"/>
    <w:multiLevelType w:val="multilevel"/>
    <w:tmpl w:val="72183CF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9B50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1997</Words>
  <Characters>2080</Characters>
  <TotalTime>0</TotalTime>
  <ScaleCrop>false</ScaleCrop>
  <LinksUpToDate>false</LinksUpToDate>
  <CharactersWithSpaces>2109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2026-06-30T10:37:00Z</dcterms:created>
  <dc:creator>Apache POI</dc:creator>
  <cp:lastModifiedBy>老鹰</cp:lastModifiedBy>
  <dcterms:modified xsi:type="dcterms:W3CDTF">2026-07-01T01:45:10Z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icvCTgRsSo+m0vSMPZXBkOo/IOifuiL2v3tNsNnlvP8=","ProduceID":"doc_sgs:70e416e7-6e8f-43cb-81f5-7b68ce78a451","ReservedCode2":"icvCTgRsSo+m0vSMPZXBkOo/IOifuiL2v3tNsNnlvP8=","PropagateID":"doc_sgs:70e416e7-6e8f-43cb-81f5-7b68ce78a451","ContentProducer":"001191440101MA9Y9T4H7A00000"}</vt:lpwstr>
  </property>
  <property fmtid="{D5CDD505-2E9C-101B-9397-08002B2CF9AE}" pid="3" name="KSOTemplateDocerSaveRecord">
    <vt:lpwstr>eyJoZGlkIjoiMzk1MzkyY2YyZGZmNzBiM2EwYWY3OTJiM2I1N2FkYmEiLCJ1c2VySWQiOiI1NzYxOTYxOTAifQ==</vt:lpwstr>
  </property>
  <property fmtid="{D5CDD505-2E9C-101B-9397-08002B2CF9AE}" pid="4" name="KSOProductBuildVer">
    <vt:lpwstr>2052-12.1.0.26895</vt:lpwstr>
  </property>
  <property fmtid="{D5CDD505-2E9C-101B-9397-08002B2CF9AE}" pid="5" name="ICV">
    <vt:lpwstr>7A9126A2DCDA478884A42D5F0EA28DD4_12</vt:lpwstr>
  </property>
</Properties>
</file>