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8C4C">
      <w:pPr>
        <w:pStyle w:val="2"/>
        <w:jc w:val="center"/>
      </w:pPr>
      <w:bookmarkStart w:id="0" w:name="医院智能后勤服务系统设计文档"/>
      <w:r>
        <w:rPr>
          <w:rFonts w:hint="eastAsia"/>
        </w:rPr>
        <w:t>医院智能后勤服务系统设计文档</w:t>
      </w:r>
    </w:p>
    <w:p w14:paraId="01D15834">
      <w:pPr>
        <w:pStyle w:val="4"/>
      </w:pPr>
      <w:bookmarkStart w:id="1" w:name="第一部分功能设计文档"/>
      <w:r>
        <w:rPr>
          <w:rFonts w:hint="eastAsia"/>
        </w:rPr>
        <w:t>第一部分：功能设计文档</w:t>
      </w:r>
    </w:p>
    <w:p w14:paraId="1625A01A">
      <w:pPr>
        <w:pStyle w:val="5"/>
      </w:pPr>
      <w:bookmarkStart w:id="2" w:name="一-系统概述"/>
      <w:r>
        <w:rPr>
          <w:rFonts w:hint="eastAsia"/>
        </w:rPr>
        <w:t>一、</w:t>
      </w:r>
      <w:r>
        <w:t xml:space="preserve"> </w:t>
      </w:r>
      <w:r>
        <w:rPr>
          <w:rFonts w:hint="eastAsia"/>
        </w:rPr>
        <w:t>系统概述</w:t>
      </w:r>
    </w:p>
    <w:p w14:paraId="5736DAB6">
      <w:pPr>
        <w:pStyle w:val="23"/>
      </w:pPr>
      <w:r>
        <w:rPr>
          <w:rFonts w:hint="eastAsia"/>
        </w:rPr>
        <w:t>医院智能后勤服务系统旨在打破传统后勤管理中“小后勤”的部门壁垒，向统筹全局的“大后勤”模式转型。系统以物联网、人工智能与大数据技术为底座，通过构建统一的数字化平台，实现后勤资源、业务流程与财务核算的深度融合。核心目标是为临床科室提供高效、透明、可追溯的一站式服务，同时帮助后勤部门实现精细化运营与科学决策。</w:t>
      </w:r>
    </w:p>
    <w:bookmarkEnd w:id="2"/>
    <w:p w14:paraId="129A725C">
      <w:pPr>
        <w:pStyle w:val="5"/>
      </w:pPr>
      <w:bookmarkStart w:id="3" w:name="二-核心功能模块设计"/>
      <w:r>
        <w:rPr>
          <w:rFonts w:hint="eastAsia"/>
        </w:rPr>
        <w:t>二、</w:t>
      </w:r>
      <w:r>
        <w:t xml:space="preserve"> </w:t>
      </w:r>
      <w:r>
        <w:rPr>
          <w:rFonts w:hint="eastAsia"/>
        </w:rPr>
        <w:t>核心功能模块设计</w:t>
      </w:r>
    </w:p>
    <w:p w14:paraId="37F99009">
      <w:pPr>
        <w:pStyle w:val="6"/>
      </w:pPr>
      <w:bookmarkStart w:id="4" w:name="全场景报修与需求端面向全院职工"/>
      <w:r>
        <w:t xml:space="preserve">1. </w:t>
      </w:r>
      <w:r>
        <w:rPr>
          <w:rFonts w:hint="eastAsia"/>
        </w:rPr>
        <w:t>全场景报修与需求端（面向全院职工）</w:t>
      </w:r>
    </w:p>
    <w:p w14:paraId="4E564237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多渠道统一入口</w:t>
      </w:r>
      <w:r>
        <w:rPr>
          <w:rFonts w:hint="eastAsia"/>
        </w:rPr>
        <w:t>：支持通过企业微信工作台、小程序或Web端发起报修。支持在聊天窗口@报修机器人发送文字或图片，系统自动解析生成工单。</w:t>
      </w:r>
    </w:p>
    <w:p w14:paraId="47F016D7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硬件报修</w:t>
      </w:r>
      <w:r>
        <w:rPr>
          <w:rFonts w:hint="eastAsia"/>
        </w:rPr>
        <w:t>：支持拍照/录像描述故障，自动获取GPS定位（精确到楼栋/楼层），根据报修类型动态显示必填项。</w:t>
      </w:r>
    </w:p>
    <w:p w14:paraId="4548B1E9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软件与IT需求</w:t>
      </w:r>
      <w:r>
        <w:rPr>
          <w:rFonts w:hint="eastAsia"/>
        </w:rPr>
        <w:t>：针对HIS、LIS等系统，支持填写“Bug报错、需求新增、流程调整”等专属表单，规范IT需求管理。</w:t>
      </w:r>
    </w:p>
    <w:p w14:paraId="5F68D25F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终端交互体验升级</w:t>
      </w:r>
      <w:r>
        <w:rPr>
          <w:rFonts w:hint="eastAsia"/>
        </w:rPr>
        <w:t>：</w:t>
      </w:r>
    </w:p>
    <w:p w14:paraId="0FDC3C36">
      <w:pPr>
        <w:pStyle w:val="24"/>
        <w:numPr>
          <w:ilvl w:val="1"/>
          <w:numId w:val="1"/>
        </w:numPr>
      </w:pPr>
      <w:r>
        <w:rPr>
          <w:rFonts w:hint="eastAsia"/>
          <w:b/>
          <w:bCs/>
        </w:rPr>
        <w:t>桌面悬浮球与快捷截屏</w:t>
      </w:r>
      <w:r>
        <w:rPr>
          <w:rFonts w:hint="eastAsia"/>
        </w:rPr>
        <w:t>：在医生PC端提供半透明悬浮球或全局快捷键，支持框选报错界面，后台自动抓取系统版本、浏览器信息及操作人信息，实现一键报障。</w:t>
      </w:r>
    </w:p>
    <w:p w14:paraId="6A6B269D">
      <w:pPr>
        <w:pStyle w:val="24"/>
        <w:numPr>
          <w:ilvl w:val="1"/>
          <w:numId w:val="1"/>
        </w:numPr>
      </w:pPr>
      <w:r>
        <w:rPr>
          <w:rFonts w:hint="eastAsia"/>
          <w:b/>
          <w:bCs/>
        </w:rPr>
        <w:t>移动端扫码带参报修</w:t>
      </w:r>
      <w:r>
        <w:rPr>
          <w:rFonts w:hint="eastAsia"/>
        </w:rPr>
        <w:t>：为关键设备贴上专属二维码，扫码自动识别设备编号、科室与型号，免去手动填写。</w:t>
      </w:r>
    </w:p>
    <w:p w14:paraId="5530B4B6">
      <w:pPr>
        <w:pStyle w:val="24"/>
        <w:numPr>
          <w:ilvl w:val="1"/>
          <w:numId w:val="1"/>
        </w:numPr>
      </w:pPr>
      <w:r>
        <w:rPr>
          <w:rFonts w:hint="eastAsia"/>
          <w:b/>
          <w:bCs/>
        </w:rPr>
        <w:t>语音转文字</w:t>
      </w:r>
      <w:r>
        <w:rPr>
          <w:rFonts w:hint="eastAsia"/>
        </w:rPr>
        <w:t>：支持长按语音输入，自动转写为故障描述，适应医护忙碌场景。</w:t>
      </w:r>
    </w:p>
    <w:bookmarkEnd w:id="4"/>
    <w:p w14:paraId="3B1E875B">
      <w:pPr>
        <w:pStyle w:val="6"/>
      </w:pPr>
      <w:bookmarkStart w:id="5" w:name="智能调度与业务流转端面向后勤信息科"/>
      <w:r>
        <w:t xml:space="preserve">2. </w:t>
      </w:r>
      <w:r>
        <w:rPr>
          <w:rFonts w:hint="eastAsia"/>
        </w:rPr>
        <w:t>智能调度与业务流转端（面向后勤/信息科）</w:t>
      </w:r>
    </w:p>
    <w:p w14:paraId="36ABF9F5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可视化业务流转图</w:t>
      </w:r>
      <w:r>
        <w:rPr>
          <w:rFonts w:hint="eastAsia"/>
        </w:rPr>
        <w:t>：为每个申请单提供全生命周期可视化状态图。清晰展示从“申请人发起”到“流转至处理科室”、“分配处理人”、“处理中”直至“完结”的节点，实时高亮当前状态与耗时，快速定位流程瓶颈。</w:t>
      </w:r>
    </w:p>
    <w:p w14:paraId="37C30E83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智能派单与人员分工矩阵</w:t>
      </w:r>
      <w:r>
        <w:rPr>
          <w:rFonts w:hint="eastAsia"/>
        </w:rPr>
        <w:t>：建立后勤人员分工矩阵，明确岗位职责、擅长领域与服务区域。系统根据工单内容、故障类型及区域，自动匹配最合适的处理员工，通过企微精准推送任务，杜绝推诿扯皮。</w:t>
      </w:r>
    </w:p>
    <w:p w14:paraId="00B81494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处理路径矩阵</w:t>
      </w:r>
      <w:r>
        <w:rPr>
          <w:rFonts w:hint="eastAsia"/>
        </w:rPr>
        <w:t>：支持根据故障评估，灵活选择“内部自修”、“采购自修”或“委托第三方”三种处理路径。</w:t>
      </w:r>
    </w:p>
    <w:bookmarkEnd w:id="5"/>
    <w:p w14:paraId="6168AF94">
      <w:pPr>
        <w:pStyle w:val="6"/>
      </w:pPr>
      <w:bookmarkStart w:id="6" w:name="第三方协同与结算端面向外部服务商"/>
      <w:r>
        <w:t xml:space="preserve">3. </w:t>
      </w:r>
      <w:r>
        <w:rPr>
          <w:rFonts w:hint="eastAsia"/>
        </w:rPr>
        <w:t>第三方协同与结算端（面向外部服务商）</w:t>
      </w:r>
    </w:p>
    <w:p w14:paraId="5610F0A3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企微消息与安全触达</w:t>
      </w:r>
      <w:r>
        <w:rPr>
          <w:rFonts w:hint="eastAsia"/>
        </w:rPr>
        <w:t>：通过企微API向第三方人员发送H5链接，无需下载APP即可查看详情。</w:t>
      </w:r>
    </w:p>
    <w:p w14:paraId="4FA88304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计划与报价填报</w:t>
      </w:r>
      <w:r>
        <w:rPr>
          <w:rFonts w:hint="eastAsia"/>
        </w:rPr>
        <w:t>：第三方需在线填写预计完成时间、预估工时与材料成本，提交院方审核。</w:t>
      </w:r>
    </w:p>
    <w:p w14:paraId="74FD9D5C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完工验收与自动结算</w:t>
      </w:r>
      <w:r>
        <w:rPr>
          <w:rFonts w:hint="eastAsia"/>
        </w:rPr>
        <w:t>：维修完成后上传凭证及耗材明细，院方验收通过后，系统自动生成《第三方维修结算单》，作为财务付款依据。</w:t>
      </w:r>
    </w:p>
    <w:bookmarkEnd w:id="6"/>
    <w:p w14:paraId="2760B8EA">
      <w:pPr>
        <w:pStyle w:val="6"/>
      </w:pPr>
      <w:bookmarkStart w:id="7" w:name="物资与固定资产全生命周期管理端"/>
      <w:r>
        <w:t xml:space="preserve">4. </w:t>
      </w:r>
      <w:r>
        <w:rPr>
          <w:rFonts w:hint="eastAsia"/>
        </w:rPr>
        <w:t>物资与固定资产全生命周期管理端</w:t>
      </w:r>
    </w:p>
    <w:p w14:paraId="35F1DFA3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物资与资产主数据管理</w:t>
      </w:r>
      <w:r>
        <w:rPr>
          <w:rFonts w:hint="eastAsia"/>
        </w:rPr>
        <w:t>：作为全院物资与资产的唯一身份标识，记录通用基础属性（如名称、类别、规格型号、品牌、供应商、计量单位等），确保数据口径一致。</w:t>
      </w:r>
    </w:p>
    <w:p w14:paraId="7D22DBD5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普通物资与耗材扩展管理</w:t>
      </w:r>
      <w:r>
        <w:rPr>
          <w:rFonts w:hint="eastAsia"/>
        </w:rPr>
        <w:t>：针对打印机耗材、维修配件、办公座椅等低值易耗品，重点管理其批次、效期、实时库存与安全库存阈值，支持按批次追溯与临期预警。</w:t>
      </w:r>
    </w:p>
    <w:p w14:paraId="46E3B0C9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固定资产与软件扩展管理</w:t>
      </w:r>
      <w:r>
        <w:rPr>
          <w:rFonts w:hint="eastAsia"/>
        </w:rPr>
        <w:t>：针对CT、磁共振、大型软件系统等，重点管理</w:t>
      </w:r>
      <w:bookmarkStart w:id="29" w:name="_GoBack"/>
      <w:bookmarkEnd w:id="29"/>
      <w:r>
        <w:rPr>
          <w:rFonts w:hint="eastAsia"/>
        </w:rPr>
        <w:t>其全生命周期与财务属性。涵盖资产序列号、财务原值、折旧年限、使用部门/责任人、维保到期日及软件版本号等核心信息。</w:t>
      </w:r>
    </w:p>
    <w:p w14:paraId="0CDBDC93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全生命周期状态流转记录</w:t>
      </w:r>
      <w:r>
        <w:rPr>
          <w:rFonts w:hint="eastAsia"/>
        </w:rPr>
        <w:t>：无论普通物资还是固定资产，其“采购入库、领用出库、现场安装、拆除退库、报损、报废处置”等动作均通过流水表记录，形成完整的审计追溯链条，避免直接覆盖原数据。</w:t>
      </w:r>
    </w:p>
    <w:bookmarkEnd w:id="7"/>
    <w:p w14:paraId="59B475C1">
      <w:pPr>
        <w:pStyle w:val="6"/>
      </w:pPr>
      <w:bookmarkStart w:id="8" w:name="采购计划管理端"/>
      <w:r>
        <w:t xml:space="preserve">5. </w:t>
      </w:r>
      <w:r>
        <w:rPr>
          <w:rFonts w:hint="eastAsia"/>
        </w:rPr>
        <w:t>采购计划管理端</w:t>
      </w:r>
    </w:p>
    <w:p w14:paraId="699CC94C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科室设备采购计划</w:t>
      </w:r>
      <w:r>
        <w:rPr>
          <w:rFonts w:hint="eastAsia"/>
        </w:rPr>
        <w:t>：支持科室根据业务发展提前制定医疗及办公设备采购计划，明确规格与预算。</w:t>
      </w:r>
    </w:p>
    <w:p w14:paraId="72D5CF65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维护配件采购计划</w:t>
      </w:r>
      <w:r>
        <w:rPr>
          <w:rFonts w:hint="eastAsia"/>
        </w:rPr>
        <w:t>：针对高频维修配件设定安全库存阈值，触发或手动发起补货计划。</w:t>
      </w:r>
    </w:p>
    <w:p w14:paraId="79BFE0C4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外包服务采购计划</w:t>
      </w:r>
      <w:r>
        <w:rPr>
          <w:rFonts w:hint="eastAsia"/>
        </w:rPr>
        <w:t>：针对长期或定期委托的维保服务，提前申报计划，规范采购流程。</w:t>
      </w:r>
    </w:p>
    <w:p w14:paraId="0AABEB21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软件维护与新增功能采购计划</w:t>
      </w:r>
      <w:r>
        <w:rPr>
          <w:rFonts w:hint="eastAsia"/>
        </w:rPr>
        <w:t>：针对科室管理软件（如HIS、LIS）的日常维护及新增功能需求，提前提交开发或维护计划，便于信息科统筹排期。</w:t>
      </w:r>
    </w:p>
    <w:bookmarkEnd w:id="8"/>
    <w:p w14:paraId="5BE43EAB">
      <w:pPr>
        <w:pStyle w:val="6"/>
      </w:pPr>
      <w:bookmarkStart w:id="9" w:name="成本核算与财务分摊引擎"/>
      <w:r>
        <w:t xml:space="preserve">6. </w:t>
      </w:r>
      <w:r>
        <w:rPr>
          <w:rFonts w:hint="eastAsia"/>
        </w:rPr>
        <w:t>成本核算与财务分摊引擎</w:t>
      </w:r>
    </w:p>
    <w:p w14:paraId="79E329AF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全要素成本归集</w:t>
      </w:r>
      <w:r>
        <w:rPr>
          <w:rFonts w:hint="eastAsia"/>
        </w:rPr>
        <w:t>：每个工单自动累加“人工成本（工时×单价）+</w:t>
      </w:r>
      <w:r>
        <w:t xml:space="preserve"> </w:t>
      </w:r>
      <w:r>
        <w:rPr>
          <w:rFonts w:hint="eastAsia"/>
        </w:rPr>
        <w:t>物料成本（配件/耗材）+</w:t>
      </w:r>
      <w:r>
        <w:t xml:space="preserve"> </w:t>
      </w:r>
      <w:r>
        <w:rPr>
          <w:rFonts w:hint="eastAsia"/>
        </w:rPr>
        <w:t>第三方服务费”。</w:t>
      </w:r>
    </w:p>
    <w:p w14:paraId="69E917D9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科室成本分摊</w:t>
      </w:r>
      <w:r>
        <w:rPr>
          <w:rFonts w:hint="eastAsia"/>
        </w:rPr>
        <w:t>：工单自动绑定“报修科室”与“设备归属科室”，月末自动生成各科室维修成本账单，对接医院HRP/财务系统。</w:t>
      </w:r>
    </w:p>
    <w:bookmarkEnd w:id="9"/>
    <w:p w14:paraId="64E490F2">
      <w:pPr>
        <w:pStyle w:val="6"/>
      </w:pPr>
      <w:bookmarkStart w:id="10" w:name="后勤工作计划与年终统计"/>
      <w:r>
        <w:t xml:space="preserve">7. </w:t>
      </w:r>
      <w:r>
        <w:rPr>
          <w:rFonts w:hint="eastAsia"/>
        </w:rPr>
        <w:t>后勤工作计划与年终统计</w:t>
      </w:r>
    </w:p>
    <w:p w14:paraId="7FD569B9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月度/年度计划制定</w:t>
      </w:r>
      <w:r>
        <w:rPr>
          <w:rFonts w:hint="eastAsia"/>
        </w:rPr>
        <w:t>：支持在线制定日常维保、预防性保养、外包跟进及科室建设支持等计划，便于统筹管理与进度追踪。</w:t>
      </w:r>
    </w:p>
    <w:p w14:paraId="46E0364B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年终工作清单自动生成</w:t>
      </w:r>
      <w:r>
        <w:rPr>
          <w:rFonts w:hint="eastAsia"/>
        </w:rPr>
        <w:t>：一键汇总本年度所有维修工单、出入库记录、外包执行情况及计划内工作，生成详尽的年度工作清单。</w:t>
      </w:r>
    </w:p>
    <w:p w14:paraId="51B0DC2E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工作量多维统计</w:t>
      </w:r>
      <w:r>
        <w:rPr>
          <w:rFonts w:hint="eastAsia"/>
        </w:rPr>
        <w:t>：自动统计报修处理总数、平均响应与完结时间、耗材消耗总量、第三方费用及内部工时，为绩效考核与来年预算提供客观依据。</w:t>
      </w:r>
    </w:p>
    <w:bookmarkEnd w:id="10"/>
    <w:p w14:paraId="0C4E41DE">
      <w:pPr>
        <w:pStyle w:val="6"/>
      </w:pPr>
      <w:bookmarkStart w:id="11" w:name="流程审批与权限配置管理"/>
      <w:r>
        <w:t xml:space="preserve">8. </w:t>
      </w:r>
      <w:r>
        <w:rPr>
          <w:rFonts w:hint="eastAsia"/>
        </w:rPr>
        <w:t>流程审批与权限配置管理</w:t>
      </w:r>
    </w:p>
    <w:p w14:paraId="6CFB308B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可视化流程设计器</w:t>
      </w:r>
      <w:r>
        <w:rPr>
          <w:rFonts w:hint="eastAsia"/>
        </w:rPr>
        <w:t>：提供拖拽式配置界面，支持自定义节点与条件路由（如：金额&gt;5000元自动触发分管院长审批）。</w:t>
      </w:r>
    </w:p>
    <w:p w14:paraId="547A9370">
      <w:pPr>
        <w:pStyle w:val="24"/>
        <w:numPr>
          <w:ilvl w:val="0"/>
          <w:numId w:val="1"/>
        </w:numPr>
      </w:pPr>
      <w:r>
        <w:rPr>
          <w:rFonts w:hint="eastAsia"/>
          <w:b/>
          <w:bCs/>
        </w:rPr>
        <w:t>RBAC角色与数据隔离</w:t>
      </w:r>
      <w:r>
        <w:rPr>
          <w:rFonts w:hint="eastAsia"/>
        </w:rPr>
        <w:t>：内置标准角色并支持自定义。实现严格的数据权限隔离（报修人仅见自己工单，维修工仅见指派工单，科室调度员可见本科室数据等），保障数据安全。</w:t>
      </w:r>
    </w:p>
    <w:bookmarkEnd w:id="3"/>
    <w:bookmarkEnd w:id="11"/>
    <w:p w14:paraId="46E918E2">
      <w:pPr>
        <w:pStyle w:val="5"/>
      </w:pPr>
      <w:bookmarkStart w:id="12" w:name="三-核心业务逻辑闭环"/>
      <w:r>
        <w:rPr>
          <w:rFonts w:hint="eastAsia"/>
        </w:rPr>
        <w:t>三、</w:t>
      </w:r>
      <w:r>
        <w:t xml:space="preserve"> </w:t>
      </w:r>
      <w:r>
        <w:rPr>
          <w:rFonts w:hint="eastAsia"/>
        </w:rPr>
        <w:t>核心业务逻辑闭环</w:t>
      </w:r>
    </w:p>
    <w:p w14:paraId="6FF81E55">
      <w:pPr>
        <w:pStyle w:val="24"/>
        <w:numPr>
          <w:ilvl w:val="0"/>
          <w:numId w:val="2"/>
        </w:numPr>
      </w:pPr>
      <w:r>
        <w:rPr>
          <w:rFonts w:hint="eastAsia"/>
          <w:b/>
          <w:bCs/>
        </w:rPr>
        <w:t>报修与分类</w:t>
      </w:r>
      <w:r>
        <w:rPr>
          <w:rFonts w:hint="eastAsia"/>
        </w:rPr>
        <w:t>：员工通过多终端发起报修</w:t>
      </w:r>
      <w:r>
        <w:t xml:space="preserve"> -&gt; </w:t>
      </w:r>
      <w:r>
        <w:rPr>
          <w:rFonts w:hint="eastAsia"/>
        </w:rPr>
        <w:t>选择软硬件大类及细分场景</w:t>
      </w:r>
      <w:r>
        <w:t xml:space="preserve"> -&gt; </w:t>
      </w:r>
      <w:r>
        <w:rPr>
          <w:rFonts w:hint="eastAsia"/>
        </w:rPr>
        <w:t>生成工单。</w:t>
      </w:r>
    </w:p>
    <w:p w14:paraId="6D6E825C">
      <w:pPr>
        <w:pStyle w:val="24"/>
        <w:numPr>
          <w:ilvl w:val="0"/>
          <w:numId w:val="2"/>
        </w:numPr>
      </w:pPr>
      <w:r>
        <w:rPr>
          <w:rFonts w:hint="eastAsia"/>
          <w:b/>
          <w:bCs/>
        </w:rPr>
        <w:t>审批与调度</w:t>
      </w:r>
      <w:r>
        <w:rPr>
          <w:rFonts w:hint="eastAsia"/>
        </w:rPr>
        <w:t>：工单进入审批流</w:t>
      </w:r>
      <w:r>
        <w:t xml:space="preserve"> -&gt; </w:t>
      </w:r>
      <w:r>
        <w:rPr>
          <w:rFonts w:hint="eastAsia"/>
        </w:rPr>
        <w:t>根据条件路由自动流转</w:t>
      </w:r>
      <w:r>
        <w:t xml:space="preserve"> -&gt; </w:t>
      </w:r>
      <w:r>
        <w:rPr>
          <w:rFonts w:hint="eastAsia"/>
        </w:rPr>
        <w:t>审批通过后进入调度池</w:t>
      </w:r>
      <w:r>
        <w:t xml:space="preserve"> -&gt; </w:t>
      </w:r>
      <w:r>
        <w:rPr>
          <w:rFonts w:hint="eastAsia"/>
        </w:rPr>
        <w:t>系统基于分工矩阵自动匹配并推送给处理人。</w:t>
      </w:r>
    </w:p>
    <w:p w14:paraId="28529C49">
      <w:pPr>
        <w:pStyle w:val="24"/>
        <w:numPr>
          <w:ilvl w:val="0"/>
          <w:numId w:val="2"/>
        </w:numPr>
      </w:pPr>
      <w:r>
        <w:rPr>
          <w:rFonts w:hint="eastAsia"/>
          <w:b/>
          <w:bCs/>
        </w:rPr>
        <w:t>执行与成本记录</w:t>
      </w:r>
      <w:r>
        <w:rPr>
          <w:rFonts w:hint="eastAsia"/>
        </w:rPr>
        <w:t>：</w:t>
      </w:r>
    </w:p>
    <w:p w14:paraId="089AB42E">
      <w:pPr>
        <w:pStyle w:val="24"/>
        <w:numPr>
          <w:ilvl w:val="1"/>
          <w:numId w:val="1"/>
        </w:numPr>
      </w:pPr>
      <w:r>
        <w:rPr>
          <w:rFonts w:hint="eastAsia"/>
        </w:rPr>
        <w:t>自修：指派员工，记录工时。</w:t>
      </w:r>
    </w:p>
    <w:p w14:paraId="31DB6A71">
      <w:pPr>
        <w:pStyle w:val="24"/>
        <w:numPr>
          <w:ilvl w:val="1"/>
          <w:numId w:val="1"/>
        </w:numPr>
      </w:pPr>
      <w:r>
        <w:rPr>
          <w:rFonts w:hint="eastAsia"/>
        </w:rPr>
        <w:t>采购自修：触发耗材领用流程，记录工时+物料。</w:t>
      </w:r>
    </w:p>
    <w:p w14:paraId="05CEE72F">
      <w:pPr>
        <w:pStyle w:val="24"/>
        <w:numPr>
          <w:ilvl w:val="1"/>
          <w:numId w:val="1"/>
        </w:numPr>
      </w:pPr>
      <w:r>
        <w:rPr>
          <w:rFonts w:hint="eastAsia"/>
        </w:rPr>
        <w:t>转第三方：企微发送H5链接</w:t>
      </w:r>
      <w:r>
        <w:t xml:space="preserve"> -&gt; </w:t>
      </w:r>
      <w:r>
        <w:rPr>
          <w:rFonts w:hint="eastAsia"/>
        </w:rPr>
        <w:t>第三方填报计划与报价</w:t>
      </w:r>
      <w:r>
        <w:t xml:space="preserve"> -&gt; </w:t>
      </w:r>
      <w:r>
        <w:rPr>
          <w:rFonts w:hint="eastAsia"/>
        </w:rPr>
        <w:t>院方审批</w:t>
      </w:r>
      <w:r>
        <w:t xml:space="preserve"> -&gt; </w:t>
      </w:r>
      <w:r>
        <w:rPr>
          <w:rFonts w:hint="eastAsia"/>
        </w:rPr>
        <w:t>施工</w:t>
      </w:r>
      <w:r>
        <w:t xml:space="preserve"> -&gt; </w:t>
      </w:r>
      <w:r>
        <w:rPr>
          <w:rFonts w:hint="eastAsia"/>
        </w:rPr>
        <w:t>上传完工报告</w:t>
      </w:r>
      <w:r>
        <w:t xml:space="preserve"> -&gt; </w:t>
      </w:r>
      <w:r>
        <w:rPr>
          <w:rFonts w:hint="eastAsia"/>
        </w:rPr>
        <w:t>院方验收。</w:t>
      </w:r>
    </w:p>
    <w:p w14:paraId="366F562B">
      <w:pPr>
        <w:pStyle w:val="24"/>
        <w:numPr>
          <w:ilvl w:val="0"/>
          <w:numId w:val="2"/>
        </w:numPr>
      </w:pPr>
      <w:r>
        <w:rPr>
          <w:rFonts w:hint="eastAsia"/>
          <w:b/>
          <w:bCs/>
        </w:rPr>
        <w:t>权限与数据隔离</w:t>
      </w:r>
      <w:r>
        <w:rPr>
          <w:rFonts w:hint="eastAsia"/>
        </w:rPr>
        <w:t>：全流程中，系统根据当前操作人的角色和数据权限，动态展示可见的工单列表、操作按钮及敏感数据。</w:t>
      </w:r>
    </w:p>
    <w:p w14:paraId="264123D1">
      <w:pPr>
        <w:pStyle w:val="24"/>
        <w:numPr>
          <w:ilvl w:val="0"/>
          <w:numId w:val="2"/>
        </w:numPr>
      </w:pPr>
      <w:r>
        <w:rPr>
          <w:rFonts w:hint="eastAsia"/>
          <w:b/>
          <w:bCs/>
        </w:rPr>
        <w:t>成本核算闭环</w:t>
      </w:r>
      <w:r>
        <w:rPr>
          <w:rFonts w:hint="eastAsia"/>
        </w:rPr>
        <w:t>：工单完结</w:t>
      </w:r>
      <w:r>
        <w:t xml:space="preserve"> -&gt; </w:t>
      </w:r>
      <w:r>
        <w:rPr>
          <w:rFonts w:hint="eastAsia"/>
        </w:rPr>
        <w:t>系统自动抓取工时、物料、外包费用</w:t>
      </w:r>
      <w:r>
        <w:t xml:space="preserve"> -&gt; </w:t>
      </w:r>
      <w:r>
        <w:rPr>
          <w:rFonts w:hint="eastAsia"/>
        </w:rPr>
        <w:t>计算总成本</w:t>
      </w:r>
      <w:r>
        <w:t xml:space="preserve"> -&gt; </w:t>
      </w:r>
      <w:r>
        <w:rPr>
          <w:rFonts w:hint="eastAsia"/>
        </w:rPr>
        <w:t>归属至报修科室</w:t>
      </w:r>
      <w:r>
        <w:t xml:space="preserve"> -&gt; </w:t>
      </w:r>
      <w:r>
        <w:rPr>
          <w:rFonts w:hint="eastAsia"/>
        </w:rPr>
        <w:t>财务月底拉取报表进行分摊。</w:t>
      </w:r>
    </w:p>
    <w:bookmarkEnd w:id="12"/>
    <w:p w14:paraId="62B1A0FB">
      <w:pPr>
        <w:pStyle w:val="5"/>
      </w:pPr>
      <w:bookmarkStart w:id="13" w:name="四-落地实施建议"/>
      <w:r>
        <w:rPr>
          <w:rFonts w:hint="eastAsia"/>
        </w:rPr>
        <w:t>四、</w:t>
      </w:r>
      <w:r>
        <w:t xml:space="preserve"> </w:t>
      </w:r>
      <w:r>
        <w:rPr>
          <w:rFonts w:hint="eastAsia"/>
        </w:rPr>
        <w:t>落地实施建议</w:t>
      </w:r>
    </w:p>
    <w:p w14:paraId="4C6B3762">
      <w:pPr>
        <w:pStyle w:val="24"/>
        <w:numPr>
          <w:ilvl w:val="0"/>
          <w:numId w:val="3"/>
        </w:numPr>
      </w:pPr>
      <w:r>
        <w:rPr>
          <w:rFonts w:hint="eastAsia"/>
          <w:b/>
          <w:bCs/>
        </w:rPr>
        <w:t>基础数据准备</w:t>
      </w:r>
      <w:r>
        <w:rPr>
          <w:rFonts w:hint="eastAsia"/>
        </w:rPr>
        <w:t>：上线前必须梳理好“内部人员工时单价”、“常用耗材/配件价格表”及“第三方服务结算协议价”，这是成本核算的基石。</w:t>
      </w:r>
    </w:p>
    <w:p w14:paraId="3B456A73">
      <w:pPr>
        <w:pStyle w:val="24"/>
        <w:numPr>
          <w:ilvl w:val="0"/>
          <w:numId w:val="3"/>
        </w:numPr>
      </w:pPr>
      <w:r>
        <w:rPr>
          <w:rFonts w:hint="eastAsia"/>
          <w:b/>
          <w:bCs/>
        </w:rPr>
        <w:t>企微接口深度开发</w:t>
      </w:r>
      <w:r>
        <w:rPr>
          <w:rFonts w:hint="eastAsia"/>
        </w:rPr>
        <w:t>：需开通企微的“自建应用”、“消息推送”、“外部联系人”及“审批流”接口，确保第三方H5链接的安全性和院方审核的合规性。</w:t>
      </w:r>
    </w:p>
    <w:p w14:paraId="7099BD7B">
      <w:pPr>
        <w:pStyle w:val="24"/>
        <w:numPr>
          <w:ilvl w:val="0"/>
          <w:numId w:val="3"/>
        </w:numPr>
      </w:pPr>
      <w:r>
        <w:rPr>
          <w:rFonts w:hint="eastAsia"/>
          <w:b/>
          <w:bCs/>
        </w:rPr>
        <w:t>与HRP/财务系统对接</w:t>
      </w:r>
      <w:r>
        <w:rPr>
          <w:rFonts w:hint="eastAsia"/>
        </w:rPr>
        <w:t>：预留标准API接口，将每月生成的“科室维修成本汇总表”自动推送至医院财务系统，减少人工对账。</w:t>
      </w:r>
    </w:p>
    <w:p w14:paraId="2B33B4F4">
      <w:pPr>
        <w:pStyle w:val="24"/>
        <w:numPr>
          <w:ilvl w:val="0"/>
          <w:numId w:val="3"/>
        </w:numPr>
      </w:pPr>
      <w:r>
        <w:rPr>
          <w:rFonts w:hint="eastAsia"/>
          <w:b/>
          <w:bCs/>
        </w:rPr>
        <w:t>软件需求池管理</w:t>
      </w:r>
      <w:r>
        <w:rPr>
          <w:rFonts w:hint="eastAsia"/>
        </w:rPr>
        <w:t>：对于非紧急的软件“需求新增”和“流程调整”，建议增加“需求池”功能，由信息科统一排期评估，避免零散工单干扰日常运维。</w:t>
      </w:r>
    </w:p>
    <w:p w14:paraId="070F081E">
      <w:pPr>
        <w:pStyle w:val="24"/>
        <w:numPr>
          <w:ilvl w:val="0"/>
          <w:numId w:val="3"/>
        </w:numPr>
      </w:pPr>
      <w:r>
        <w:rPr>
          <w:rFonts w:hint="eastAsia"/>
          <w:b/>
          <w:bCs/>
        </w:rPr>
        <w:t>权限与流程灰度上线</w:t>
      </w:r>
      <w:r>
        <w:rPr>
          <w:rFonts w:hint="eastAsia"/>
        </w:rPr>
        <w:t>：建议先配置核心科室和标准流程进行试点，验证数据权限隔离和审批路由的准确性后，再全院推广。</w:t>
      </w:r>
    </w:p>
    <w:p w14:paraId="34B5F15E">
      <w:pPr>
        <w:pStyle w:val="24"/>
        <w:numPr>
          <w:ilvl w:val="0"/>
          <w:numId w:val="3"/>
        </w:numPr>
      </w:pPr>
      <w:r>
        <w:rPr>
          <w:rFonts w:hint="eastAsia"/>
          <w:b/>
          <w:bCs/>
        </w:rPr>
        <w:t>采购计划与预算联动</w:t>
      </w:r>
      <w:r>
        <w:rPr>
          <w:rFonts w:hint="eastAsia"/>
        </w:rPr>
        <w:t>：采购计划模块需与医院年度预算系统打通，科室提交计划时自动校验预算余额，超预算计划需触发额外审批流程。</w:t>
      </w:r>
    </w:p>
    <w:p w14:paraId="44F4F2EA">
      <w:r>
        <w:pict>
          <v:rect id="_x0000_i1025" o:spt="1" style="height:1.5pt;width:0pt;" coordsize="21600,21600" o:hr="t" o:hrstd="t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1"/>
    <w:bookmarkEnd w:id="13"/>
    <w:p w14:paraId="3823AEA3">
      <w:pPr>
        <w:pStyle w:val="4"/>
      </w:pPr>
      <w:bookmarkStart w:id="14" w:name="第二部分数据库设计文档"/>
      <w:r>
        <w:rPr>
          <w:rFonts w:hint="eastAsia"/>
        </w:rPr>
        <w:t>第二部分：数据库设计文档</w:t>
      </w:r>
    </w:p>
    <w:p w14:paraId="69EB764A">
      <w:pPr>
        <w:pStyle w:val="5"/>
      </w:pPr>
      <w:bookmarkStart w:id="15" w:name="一-核心表结构定义"/>
      <w:r>
        <w:rPr>
          <w:rFonts w:hint="eastAsia"/>
        </w:rPr>
        <w:t>一、</w:t>
      </w:r>
      <w:r>
        <w:t xml:space="preserve"> </w:t>
      </w:r>
      <w:r>
        <w:rPr>
          <w:rFonts w:hint="eastAsia"/>
        </w:rPr>
        <w:t>核心表结构定义</w:t>
      </w:r>
    </w:p>
    <w:p w14:paraId="070F926A">
      <w:pPr>
        <w:pStyle w:val="6"/>
      </w:pPr>
      <w:bookmarkStart w:id="16" w:name="工单表-work_order"/>
      <w:r>
        <w:t xml:space="preserve">1. </w:t>
      </w:r>
      <w:r>
        <w:rPr>
          <w:rFonts w:hint="eastAsia"/>
        </w:rPr>
        <w:t>工单表</w:t>
      </w:r>
      <w:r>
        <w:t xml:space="preserve"> (</w:t>
      </w:r>
      <w:r>
        <w:rPr>
          <w:rStyle w:val="48"/>
        </w:rPr>
        <w:t>work_order</w:t>
      </w:r>
      <w:r>
        <w:t>)</w:t>
      </w:r>
    </w:p>
    <w:p w14:paraId="1A23CF87">
      <w:pPr>
        <w:pStyle w:val="23"/>
      </w:pPr>
      <w:r>
        <w:rPr>
          <w:rFonts w:hint="eastAsia"/>
        </w:rPr>
        <w:t>用于记录全场景报修、IT需求及第三方维修工单的全生命周期信息。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 w14:paraId="5F410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0E0E244C">
            <w:pPr>
              <w:pStyle w:val="24"/>
              <w:jc w:val="left"/>
            </w:pPr>
            <w:r>
              <w:rPr>
                <w:rFonts w:hint="eastAsia"/>
              </w:rPr>
              <w:t>字段名称</w:t>
            </w:r>
          </w:p>
        </w:tc>
        <w:tc>
          <w:p w14:paraId="6E15F59E">
            <w:pPr>
              <w:pStyle w:val="24"/>
              <w:jc w:val="left"/>
            </w:pPr>
            <w:r>
              <w:rPr>
                <w:rFonts w:hint="eastAsia"/>
              </w:rPr>
              <w:t>字段类型</w:t>
            </w:r>
          </w:p>
        </w:tc>
        <w:tc>
          <w:p w14:paraId="2FE308F6">
            <w:pPr>
              <w:pStyle w:val="24"/>
              <w:jc w:val="left"/>
            </w:pPr>
            <w:r>
              <w:rPr>
                <w:rFonts w:hint="eastAsia"/>
              </w:rPr>
              <w:t>必填</w:t>
            </w:r>
          </w:p>
        </w:tc>
        <w:tc>
          <w:p w14:paraId="18F2F2D2">
            <w:pPr>
              <w:pStyle w:val="24"/>
              <w:jc w:val="left"/>
            </w:pPr>
            <w:r>
              <w:rPr>
                <w:rFonts w:hint="eastAsia"/>
              </w:rPr>
              <w:t>字段说明</w:t>
            </w:r>
          </w:p>
        </w:tc>
      </w:tr>
      <w:tr w14:paraId="3D2DA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23DE12">
            <w:pPr>
              <w:pStyle w:val="24"/>
              <w:jc w:val="left"/>
            </w:pPr>
            <w:r>
              <w:t>id</w:t>
            </w:r>
          </w:p>
        </w:tc>
        <w:tc>
          <w:p w14:paraId="6D2236C9">
            <w:pPr>
              <w:pStyle w:val="24"/>
              <w:jc w:val="left"/>
            </w:pPr>
            <w:r>
              <w:t>BIGINT</w:t>
            </w:r>
          </w:p>
        </w:tc>
        <w:tc>
          <w:p w14:paraId="7C42A6EA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6AFB66DA">
            <w:pPr>
              <w:pStyle w:val="24"/>
              <w:jc w:val="left"/>
            </w:pPr>
            <w:r>
              <w:rPr>
                <w:rFonts w:hint="eastAsia"/>
              </w:rPr>
              <w:t>主键，自增</w:t>
            </w:r>
          </w:p>
        </w:tc>
      </w:tr>
      <w:tr w14:paraId="728B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B8CB4B7">
            <w:pPr>
              <w:pStyle w:val="24"/>
              <w:jc w:val="left"/>
            </w:pPr>
            <w:r>
              <w:t>order_no</w:t>
            </w:r>
          </w:p>
        </w:tc>
        <w:tc>
          <w:p w14:paraId="10FA843A">
            <w:pPr>
              <w:pStyle w:val="24"/>
              <w:jc w:val="left"/>
            </w:pPr>
            <w:r>
              <w:t>VARCHAR(32)</w:t>
            </w:r>
          </w:p>
        </w:tc>
        <w:tc>
          <w:p w14:paraId="76F68A2A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15A9D632">
            <w:pPr>
              <w:pStyle w:val="24"/>
              <w:jc w:val="left"/>
            </w:pPr>
            <w:r>
              <w:rPr>
                <w:rFonts w:hint="eastAsia"/>
              </w:rPr>
              <w:t>工单流水号，全局唯一</w:t>
            </w:r>
          </w:p>
        </w:tc>
      </w:tr>
      <w:tr w14:paraId="6AA5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1EF1880">
            <w:pPr>
              <w:pStyle w:val="24"/>
              <w:jc w:val="left"/>
            </w:pPr>
            <w:r>
              <w:t>category</w:t>
            </w:r>
          </w:p>
        </w:tc>
        <w:tc>
          <w:p w14:paraId="3A72B6DB">
            <w:pPr>
              <w:pStyle w:val="24"/>
              <w:jc w:val="left"/>
            </w:pPr>
            <w:r>
              <w:t>TINYINT</w:t>
            </w:r>
          </w:p>
        </w:tc>
        <w:tc>
          <w:p w14:paraId="2B159FEA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6FCDB819">
            <w:pPr>
              <w:pStyle w:val="24"/>
              <w:jc w:val="left"/>
            </w:pPr>
            <w:r>
              <w:rPr>
                <w:rFonts w:hint="eastAsia"/>
              </w:rPr>
              <w:t>工单类别（1-硬件报修，2-软件IT需求，3-第三方维修）</w:t>
            </w:r>
          </w:p>
        </w:tc>
      </w:tr>
      <w:tr w14:paraId="0770F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2A41AD9">
            <w:pPr>
              <w:pStyle w:val="24"/>
              <w:jc w:val="left"/>
            </w:pPr>
            <w:r>
              <w:t>title</w:t>
            </w:r>
          </w:p>
        </w:tc>
        <w:tc>
          <w:p w14:paraId="1AF2D640">
            <w:pPr>
              <w:pStyle w:val="24"/>
              <w:jc w:val="left"/>
            </w:pPr>
            <w:r>
              <w:t>VARCHAR(255)</w:t>
            </w:r>
          </w:p>
        </w:tc>
        <w:tc>
          <w:p w14:paraId="5AE10637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7D967D5A">
            <w:pPr>
              <w:pStyle w:val="24"/>
              <w:jc w:val="left"/>
            </w:pPr>
            <w:r>
              <w:rPr>
                <w:rFonts w:hint="eastAsia"/>
              </w:rPr>
              <w:t>故障/需求标题</w:t>
            </w:r>
          </w:p>
        </w:tc>
      </w:tr>
      <w:tr w14:paraId="1CA35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591F2FB">
            <w:pPr>
              <w:pStyle w:val="24"/>
              <w:jc w:val="left"/>
            </w:pPr>
            <w:r>
              <w:t>description</w:t>
            </w:r>
          </w:p>
        </w:tc>
        <w:tc>
          <w:p w14:paraId="05991F62">
            <w:pPr>
              <w:pStyle w:val="24"/>
              <w:jc w:val="left"/>
            </w:pPr>
            <w:r>
              <w:t>TEXT</w:t>
            </w:r>
          </w:p>
        </w:tc>
        <w:tc>
          <w:p w14:paraId="19D605AB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400C19A2">
            <w:pPr>
              <w:pStyle w:val="24"/>
              <w:jc w:val="left"/>
            </w:pPr>
            <w:r>
              <w:rPr>
                <w:rFonts w:hint="eastAsia"/>
              </w:rPr>
              <w:t>详细描述或语音转写文本</w:t>
            </w:r>
          </w:p>
        </w:tc>
      </w:tr>
      <w:tr w14:paraId="26AD2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A14D2D5">
            <w:pPr>
              <w:pStyle w:val="24"/>
              <w:jc w:val="left"/>
            </w:pPr>
            <w:r>
              <w:t>location</w:t>
            </w:r>
          </w:p>
        </w:tc>
        <w:tc>
          <w:p w14:paraId="079B1DB5">
            <w:pPr>
              <w:pStyle w:val="24"/>
              <w:jc w:val="left"/>
            </w:pPr>
            <w:r>
              <w:t>VARCHAR(255)</w:t>
            </w:r>
          </w:p>
        </w:tc>
        <w:tc>
          <w:p w14:paraId="706B86F7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5FCA8FBF">
            <w:pPr>
              <w:pStyle w:val="24"/>
              <w:jc w:val="left"/>
            </w:pPr>
            <w:r>
              <w:rPr>
                <w:rFonts w:hint="eastAsia"/>
              </w:rPr>
              <w:t>报修位置（精确到房间）</w:t>
            </w:r>
          </w:p>
        </w:tc>
      </w:tr>
      <w:tr w14:paraId="1670E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09945A5">
            <w:pPr>
              <w:pStyle w:val="24"/>
              <w:jc w:val="left"/>
            </w:pPr>
            <w:r>
              <w:t>reporter_id</w:t>
            </w:r>
          </w:p>
        </w:tc>
        <w:tc>
          <w:p w14:paraId="4470E5F7">
            <w:pPr>
              <w:pStyle w:val="24"/>
              <w:jc w:val="left"/>
            </w:pPr>
            <w:r>
              <w:t>BIGINT</w:t>
            </w:r>
          </w:p>
        </w:tc>
        <w:tc>
          <w:p w14:paraId="28BBE8ED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1B2DA010">
            <w:pPr>
              <w:pStyle w:val="24"/>
              <w:jc w:val="left"/>
            </w:pPr>
            <w:r>
              <w:rPr>
                <w:rFonts w:hint="eastAsia"/>
              </w:rPr>
              <w:t>报修人ID</w:t>
            </w:r>
          </w:p>
        </w:tc>
      </w:tr>
      <w:tr w14:paraId="08AFC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8655BC5">
            <w:pPr>
              <w:pStyle w:val="24"/>
              <w:jc w:val="left"/>
            </w:pPr>
            <w:r>
              <w:t>reporter_dept_id</w:t>
            </w:r>
          </w:p>
        </w:tc>
        <w:tc>
          <w:p w14:paraId="26B3FDB6">
            <w:pPr>
              <w:pStyle w:val="24"/>
              <w:jc w:val="left"/>
            </w:pPr>
            <w:r>
              <w:t>BIGINT</w:t>
            </w:r>
          </w:p>
        </w:tc>
        <w:tc>
          <w:p w14:paraId="1D3810D9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42336C73">
            <w:pPr>
              <w:pStyle w:val="24"/>
              <w:jc w:val="left"/>
            </w:pPr>
            <w:r>
              <w:rPr>
                <w:rFonts w:hint="eastAsia"/>
              </w:rPr>
              <w:t>报修科室ID</w:t>
            </w:r>
          </w:p>
        </w:tc>
      </w:tr>
      <w:tr w14:paraId="1BC0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23338F4">
            <w:pPr>
              <w:pStyle w:val="24"/>
              <w:jc w:val="left"/>
            </w:pPr>
            <w:r>
              <w:t>status</w:t>
            </w:r>
          </w:p>
        </w:tc>
        <w:tc>
          <w:p w14:paraId="4C71A1DB">
            <w:pPr>
              <w:pStyle w:val="24"/>
              <w:jc w:val="left"/>
            </w:pPr>
            <w:r>
              <w:t>TINYINT</w:t>
            </w:r>
          </w:p>
        </w:tc>
        <w:tc>
          <w:p w14:paraId="055D7DAD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1F528A57">
            <w:pPr>
              <w:pStyle w:val="24"/>
              <w:jc w:val="left"/>
            </w:pPr>
            <w:r>
              <w:rPr>
                <w:rFonts w:hint="eastAsia"/>
              </w:rPr>
              <w:t>工单状态（0-待审批，1-待派单，2-处理中，3-待验收，4-已完结）</w:t>
            </w:r>
          </w:p>
        </w:tc>
      </w:tr>
      <w:tr w14:paraId="5DCB6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F2B0FA9">
            <w:pPr>
              <w:pStyle w:val="24"/>
              <w:jc w:val="left"/>
            </w:pPr>
            <w:r>
              <w:t>handler_id</w:t>
            </w:r>
          </w:p>
        </w:tc>
        <w:tc>
          <w:p w14:paraId="6AE55714">
            <w:pPr>
              <w:pStyle w:val="24"/>
              <w:jc w:val="left"/>
            </w:pPr>
            <w:r>
              <w:t>BIGINT</w:t>
            </w:r>
          </w:p>
        </w:tc>
        <w:tc>
          <w:p w14:paraId="74497AEF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554B97D1">
            <w:pPr>
              <w:pStyle w:val="24"/>
              <w:jc w:val="left"/>
            </w:pPr>
            <w:r>
              <w:rPr>
                <w:rFonts w:hint="eastAsia"/>
              </w:rPr>
              <w:t>当前处理人ID（关联</w:t>
            </w:r>
            <w:r>
              <w:t xml:space="preserve"> </w:t>
            </w:r>
            <w:r>
              <w:rPr>
                <w:rStyle w:val="48"/>
              </w:rPr>
              <w:t>sys_user</w:t>
            </w:r>
            <w:r>
              <w:rPr>
                <w:rFonts w:hint="eastAsia"/>
              </w:rPr>
              <w:t>，支持分配给第三方人员）</w:t>
            </w:r>
          </w:p>
        </w:tc>
      </w:tr>
      <w:tr w14:paraId="0CC1F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D3DCC24">
            <w:pPr>
              <w:pStyle w:val="24"/>
              <w:jc w:val="left"/>
            </w:pPr>
            <w:r>
              <w:t>supplier_id</w:t>
            </w:r>
          </w:p>
        </w:tc>
        <w:tc>
          <w:p w14:paraId="7B1277B3">
            <w:pPr>
              <w:pStyle w:val="24"/>
              <w:jc w:val="left"/>
            </w:pPr>
            <w:r>
              <w:t>BIGINT</w:t>
            </w:r>
          </w:p>
        </w:tc>
        <w:tc>
          <w:p w14:paraId="50EF723D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67B63DFE">
            <w:pPr>
              <w:pStyle w:val="24"/>
              <w:jc w:val="left"/>
            </w:pPr>
            <w:r>
              <w:rPr>
                <w:rFonts w:hint="eastAsia"/>
              </w:rPr>
              <w:t>第三方服务商ID（关联</w:t>
            </w:r>
            <w:r>
              <w:t xml:space="preserve"> </w:t>
            </w:r>
            <w:r>
              <w:rPr>
                <w:rStyle w:val="48"/>
              </w:rPr>
              <w:t>supplier_info</w:t>
            </w:r>
            <w:r>
              <w:rPr>
                <w:rFonts w:hint="eastAsia"/>
              </w:rPr>
              <w:t>，若分配给第三方则记录，便于结算）</w:t>
            </w:r>
          </w:p>
        </w:tc>
      </w:tr>
      <w:tr w14:paraId="7299B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F323CFE">
            <w:pPr>
              <w:pStyle w:val="24"/>
              <w:jc w:val="left"/>
            </w:pPr>
            <w:r>
              <w:t>created_at</w:t>
            </w:r>
          </w:p>
        </w:tc>
        <w:tc>
          <w:p w14:paraId="7200EC3F">
            <w:pPr>
              <w:pStyle w:val="24"/>
              <w:jc w:val="left"/>
            </w:pPr>
            <w:r>
              <w:t>DATETIME</w:t>
            </w:r>
          </w:p>
        </w:tc>
        <w:tc>
          <w:p w14:paraId="3BB38AE6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66608529">
            <w:pPr>
              <w:pStyle w:val="24"/>
              <w:jc w:val="left"/>
            </w:pPr>
            <w:r>
              <w:rPr>
                <w:rFonts w:hint="eastAsia"/>
              </w:rPr>
              <w:t>创建时间</w:t>
            </w:r>
          </w:p>
        </w:tc>
      </w:tr>
      <w:tr w14:paraId="0A76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6466F6B">
            <w:pPr>
              <w:pStyle w:val="24"/>
              <w:jc w:val="left"/>
            </w:pPr>
            <w:r>
              <w:t>completed_at</w:t>
            </w:r>
          </w:p>
        </w:tc>
        <w:tc>
          <w:p w14:paraId="003FD710">
            <w:pPr>
              <w:pStyle w:val="24"/>
              <w:jc w:val="left"/>
            </w:pPr>
            <w:r>
              <w:t>DATETIME</w:t>
            </w:r>
          </w:p>
        </w:tc>
        <w:tc>
          <w:p w14:paraId="5B358C59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0DCFEEAC">
            <w:pPr>
              <w:pStyle w:val="24"/>
              <w:jc w:val="left"/>
            </w:pPr>
            <w:r>
              <w:rPr>
                <w:rFonts w:hint="eastAsia"/>
              </w:rPr>
              <w:t>完结时间</w:t>
            </w:r>
          </w:p>
        </w:tc>
      </w:tr>
      <w:bookmarkEnd w:id="16"/>
    </w:tbl>
    <w:p w14:paraId="476712CF">
      <w:pPr>
        <w:pStyle w:val="6"/>
      </w:pPr>
      <w:bookmarkStart w:id="17" w:name="物资主数据表-material_master"/>
      <w:r>
        <w:t xml:space="preserve">2. </w:t>
      </w:r>
      <w:r>
        <w:rPr>
          <w:rFonts w:hint="eastAsia"/>
        </w:rPr>
        <w:t>物资主数据表</w:t>
      </w:r>
      <w:r>
        <w:t xml:space="preserve"> (</w:t>
      </w:r>
      <w:r>
        <w:rPr>
          <w:rStyle w:val="48"/>
        </w:rPr>
        <w:t>material_master</w:t>
      </w:r>
      <w:r>
        <w:t>)</w:t>
      </w:r>
    </w:p>
    <w:p w14:paraId="2756EAEF">
      <w:pPr>
        <w:pStyle w:val="23"/>
      </w:pPr>
      <w:r>
        <w:rPr>
          <w:rFonts w:hint="eastAsia"/>
        </w:rPr>
        <w:t>作为全院物资与资产的唯一身份标识，记录通用基础属性。</w:t>
      </w:r>
    </w:p>
    <w:tbl>
      <w:tblPr>
        <w:tblStyle w:val="4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814"/>
        <w:gridCol w:w="654"/>
        <w:gridCol w:w="4428"/>
      </w:tblGrid>
      <w:tr w14:paraId="19EC5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72A11B41">
            <w:pPr>
              <w:pStyle w:val="24"/>
              <w:jc w:val="left"/>
            </w:pPr>
            <w:r>
              <w:rPr>
                <w:rFonts w:hint="eastAsia"/>
              </w:rPr>
              <w:t>字段名称</w:t>
            </w:r>
          </w:p>
        </w:tc>
        <w:tc>
          <w:p w14:paraId="4A394FC7">
            <w:pPr>
              <w:pStyle w:val="24"/>
              <w:jc w:val="left"/>
            </w:pPr>
            <w:r>
              <w:rPr>
                <w:rFonts w:hint="eastAsia"/>
              </w:rPr>
              <w:t>字段类型</w:t>
            </w:r>
          </w:p>
        </w:tc>
        <w:tc>
          <w:p w14:paraId="147DFAB1">
            <w:pPr>
              <w:pStyle w:val="24"/>
              <w:jc w:val="left"/>
            </w:pPr>
            <w:r>
              <w:rPr>
                <w:rFonts w:hint="eastAsia"/>
              </w:rPr>
              <w:t>必填</w:t>
            </w:r>
          </w:p>
        </w:tc>
        <w:tc>
          <w:p w14:paraId="65587972">
            <w:pPr>
              <w:pStyle w:val="24"/>
              <w:jc w:val="left"/>
            </w:pPr>
            <w:r>
              <w:rPr>
                <w:rFonts w:hint="eastAsia"/>
              </w:rPr>
              <w:t>字段说明</w:t>
            </w:r>
          </w:p>
        </w:tc>
      </w:tr>
      <w:tr w14:paraId="0200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2144FD7">
            <w:pPr>
              <w:pStyle w:val="24"/>
              <w:jc w:val="left"/>
            </w:pPr>
            <w:r>
              <w:t>id</w:t>
            </w:r>
          </w:p>
        </w:tc>
        <w:tc>
          <w:p w14:paraId="1C964419">
            <w:pPr>
              <w:pStyle w:val="24"/>
              <w:jc w:val="left"/>
            </w:pPr>
            <w:r>
              <w:t>BIGINT</w:t>
            </w:r>
          </w:p>
        </w:tc>
        <w:tc>
          <w:p w14:paraId="3B3FA2B3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028EC584">
            <w:pPr>
              <w:pStyle w:val="24"/>
              <w:jc w:val="left"/>
            </w:pPr>
            <w:r>
              <w:rPr>
                <w:rFonts w:hint="eastAsia"/>
              </w:rPr>
              <w:t>主键，自增</w:t>
            </w:r>
          </w:p>
        </w:tc>
      </w:tr>
      <w:tr w14:paraId="2DA6D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2F35973">
            <w:pPr>
              <w:pStyle w:val="24"/>
              <w:jc w:val="left"/>
            </w:pPr>
            <w:r>
              <w:t>material_code</w:t>
            </w:r>
          </w:p>
        </w:tc>
        <w:tc>
          <w:p w14:paraId="3A51D957">
            <w:pPr>
              <w:pStyle w:val="24"/>
              <w:jc w:val="left"/>
            </w:pPr>
            <w:r>
              <w:t>VARCHAR(32)</w:t>
            </w:r>
          </w:p>
        </w:tc>
        <w:tc>
          <w:p w14:paraId="65FA58AA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319457C2">
            <w:pPr>
              <w:pStyle w:val="24"/>
              <w:jc w:val="left"/>
            </w:pPr>
            <w:r>
              <w:rPr>
                <w:rFonts w:hint="eastAsia"/>
              </w:rPr>
              <w:t>物资/资产编码，全局唯一</w:t>
            </w:r>
          </w:p>
        </w:tc>
      </w:tr>
      <w:tr w14:paraId="3163B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321AC5A">
            <w:pPr>
              <w:pStyle w:val="24"/>
              <w:jc w:val="left"/>
            </w:pPr>
            <w:r>
              <w:t>name</w:t>
            </w:r>
          </w:p>
        </w:tc>
        <w:tc>
          <w:p w14:paraId="1EB12BCD">
            <w:pPr>
              <w:pStyle w:val="24"/>
              <w:jc w:val="left"/>
            </w:pPr>
            <w:r>
              <w:t>VARCHAR(255)</w:t>
            </w:r>
          </w:p>
        </w:tc>
        <w:tc>
          <w:p w14:paraId="3C1D19C4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5CC4C286">
            <w:pPr>
              <w:pStyle w:val="24"/>
              <w:jc w:val="left"/>
            </w:pPr>
            <w:r>
              <w:rPr>
                <w:rFonts w:hint="eastAsia"/>
              </w:rPr>
              <w:t>规范全称</w:t>
            </w:r>
          </w:p>
        </w:tc>
      </w:tr>
      <w:tr w14:paraId="33D4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794EADF">
            <w:pPr>
              <w:pStyle w:val="24"/>
              <w:jc w:val="left"/>
            </w:pPr>
            <w:r>
              <w:t>category</w:t>
            </w:r>
          </w:p>
        </w:tc>
        <w:tc>
          <w:p w14:paraId="0F1B2135">
            <w:pPr>
              <w:pStyle w:val="24"/>
              <w:jc w:val="left"/>
            </w:pPr>
            <w:r>
              <w:t>TINYINT</w:t>
            </w:r>
          </w:p>
        </w:tc>
        <w:tc>
          <w:p w14:paraId="1E24D6B9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235283CE">
            <w:pPr>
              <w:pStyle w:val="24"/>
              <w:jc w:val="left"/>
            </w:pPr>
            <w:r>
              <w:rPr>
                <w:rFonts w:hint="eastAsia"/>
              </w:rPr>
              <w:t>类别（1-普通耗材，2-固定资产，3-软件资产）</w:t>
            </w:r>
          </w:p>
        </w:tc>
      </w:tr>
      <w:tr w14:paraId="10148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511D634">
            <w:pPr>
              <w:pStyle w:val="24"/>
              <w:jc w:val="left"/>
            </w:pPr>
            <w:r>
              <w:t>spec_model</w:t>
            </w:r>
          </w:p>
        </w:tc>
        <w:tc>
          <w:p w14:paraId="126AE938">
            <w:pPr>
              <w:pStyle w:val="24"/>
              <w:jc w:val="left"/>
            </w:pPr>
            <w:r>
              <w:t>VARCHAR(255)</w:t>
            </w:r>
          </w:p>
        </w:tc>
        <w:tc>
          <w:p w14:paraId="4599A7FA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6F255C24">
            <w:pPr>
              <w:pStyle w:val="24"/>
              <w:jc w:val="left"/>
            </w:pPr>
            <w:r>
              <w:rPr>
                <w:rFonts w:hint="eastAsia"/>
              </w:rPr>
              <w:t>规格型号</w:t>
            </w:r>
          </w:p>
        </w:tc>
      </w:tr>
      <w:tr w14:paraId="5FFA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FCB2F26">
            <w:pPr>
              <w:pStyle w:val="24"/>
              <w:jc w:val="left"/>
            </w:pPr>
            <w:r>
              <w:t>brand</w:t>
            </w:r>
          </w:p>
        </w:tc>
        <w:tc>
          <w:p w14:paraId="30E503B6">
            <w:pPr>
              <w:pStyle w:val="24"/>
              <w:jc w:val="left"/>
            </w:pPr>
            <w:r>
              <w:t>VARCHAR(100)</w:t>
            </w:r>
          </w:p>
        </w:tc>
        <w:tc>
          <w:p w14:paraId="1DB21ECA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741F2F9B">
            <w:pPr>
              <w:pStyle w:val="24"/>
              <w:jc w:val="left"/>
            </w:pPr>
            <w:r>
              <w:rPr>
                <w:rFonts w:hint="eastAsia"/>
              </w:rPr>
              <w:t>品牌</w:t>
            </w:r>
          </w:p>
        </w:tc>
      </w:tr>
      <w:tr w14:paraId="3DD36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4BD4C6D">
            <w:pPr>
              <w:pStyle w:val="24"/>
              <w:jc w:val="left"/>
            </w:pPr>
            <w:r>
              <w:t>supplier_id</w:t>
            </w:r>
          </w:p>
        </w:tc>
        <w:tc>
          <w:p w14:paraId="2DB2B6AB">
            <w:pPr>
              <w:pStyle w:val="24"/>
              <w:jc w:val="left"/>
            </w:pPr>
            <w:r>
              <w:t>BIGINT</w:t>
            </w:r>
          </w:p>
        </w:tc>
        <w:tc>
          <w:p w14:paraId="353E04B6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13DFC8EC">
            <w:pPr>
              <w:pStyle w:val="24"/>
              <w:jc w:val="left"/>
            </w:pPr>
            <w:r>
              <w:rPr>
                <w:rFonts w:hint="eastAsia"/>
              </w:rPr>
              <w:t>供应商ID</w:t>
            </w:r>
          </w:p>
        </w:tc>
      </w:tr>
      <w:tr w14:paraId="0E574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0F1E054">
            <w:pPr>
              <w:pStyle w:val="24"/>
              <w:jc w:val="left"/>
            </w:pPr>
            <w:r>
              <w:t>unit</w:t>
            </w:r>
          </w:p>
        </w:tc>
        <w:tc>
          <w:p w14:paraId="166AEB05">
            <w:pPr>
              <w:pStyle w:val="24"/>
              <w:jc w:val="left"/>
            </w:pPr>
            <w:r>
              <w:t>VARCHAR(20)</w:t>
            </w:r>
          </w:p>
        </w:tc>
        <w:tc>
          <w:p w14:paraId="258043EA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71C51548">
            <w:pPr>
              <w:pStyle w:val="24"/>
              <w:jc w:val="left"/>
            </w:pPr>
            <w:r>
              <w:rPr>
                <w:rFonts w:hint="eastAsia"/>
              </w:rPr>
              <w:t>计量单位</w:t>
            </w:r>
          </w:p>
        </w:tc>
      </w:tr>
      <w:tr w14:paraId="5B42D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62E2B6D">
            <w:pPr>
              <w:pStyle w:val="24"/>
              <w:jc w:val="left"/>
            </w:pPr>
            <w:r>
              <w:t>storage_location</w:t>
            </w:r>
          </w:p>
        </w:tc>
        <w:tc>
          <w:p w14:paraId="07FE7034">
            <w:pPr>
              <w:pStyle w:val="24"/>
              <w:jc w:val="left"/>
            </w:pPr>
            <w:r>
              <w:t>VARCHAR(255)</w:t>
            </w:r>
          </w:p>
        </w:tc>
        <w:tc>
          <w:p w14:paraId="1D3154B3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01CC7054">
            <w:pPr>
              <w:pStyle w:val="24"/>
              <w:jc w:val="left"/>
            </w:pPr>
            <w:r>
              <w:rPr>
                <w:rFonts w:hint="eastAsia"/>
              </w:rPr>
              <w:t>存放位置/库位</w:t>
            </w:r>
          </w:p>
        </w:tc>
      </w:tr>
      <w:bookmarkEnd w:id="17"/>
    </w:tbl>
    <w:p w14:paraId="14278D8E">
      <w:pPr>
        <w:pStyle w:val="6"/>
      </w:pPr>
      <w:bookmarkStart w:id="18" w:name="普通物资扩展表-material_consumable_ext"/>
      <w:r>
        <w:t xml:space="preserve">3. </w:t>
      </w:r>
      <w:r>
        <w:rPr>
          <w:rFonts w:hint="eastAsia"/>
        </w:rPr>
        <w:t>普通物资扩展表</w:t>
      </w:r>
      <w:r>
        <w:t xml:space="preserve"> (</w:t>
      </w:r>
      <w:r>
        <w:rPr>
          <w:rStyle w:val="48"/>
        </w:rPr>
        <w:t>material_consumable_ext</w:t>
      </w:r>
      <w:r>
        <w:t>)</w:t>
      </w:r>
    </w:p>
    <w:p w14:paraId="2E2314D8">
      <w:pPr>
        <w:pStyle w:val="23"/>
      </w:pPr>
      <w:r>
        <w:rPr>
          <w:rFonts w:hint="eastAsia"/>
        </w:rPr>
        <w:t>针对低值易耗品，重点管理批次、效期与库存流转。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 w14:paraId="525B0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093280ED">
            <w:pPr>
              <w:pStyle w:val="24"/>
              <w:jc w:val="left"/>
            </w:pPr>
            <w:r>
              <w:rPr>
                <w:rFonts w:hint="eastAsia"/>
              </w:rPr>
              <w:t>字段名称</w:t>
            </w:r>
          </w:p>
        </w:tc>
        <w:tc>
          <w:p w14:paraId="384C2C54">
            <w:pPr>
              <w:pStyle w:val="24"/>
              <w:jc w:val="left"/>
            </w:pPr>
            <w:r>
              <w:rPr>
                <w:rFonts w:hint="eastAsia"/>
              </w:rPr>
              <w:t>字段类型</w:t>
            </w:r>
          </w:p>
        </w:tc>
        <w:tc>
          <w:p w14:paraId="5E14FA4A">
            <w:pPr>
              <w:pStyle w:val="24"/>
              <w:jc w:val="left"/>
            </w:pPr>
            <w:r>
              <w:rPr>
                <w:rFonts w:hint="eastAsia"/>
              </w:rPr>
              <w:t>必填</w:t>
            </w:r>
          </w:p>
        </w:tc>
        <w:tc>
          <w:p w14:paraId="33878436">
            <w:pPr>
              <w:pStyle w:val="24"/>
              <w:jc w:val="left"/>
            </w:pPr>
            <w:r>
              <w:rPr>
                <w:rFonts w:hint="eastAsia"/>
              </w:rPr>
              <w:t>字段说明</w:t>
            </w:r>
          </w:p>
        </w:tc>
      </w:tr>
      <w:tr w14:paraId="31B50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F462A17">
            <w:pPr>
              <w:pStyle w:val="24"/>
              <w:jc w:val="left"/>
            </w:pPr>
            <w:r>
              <w:t>id</w:t>
            </w:r>
          </w:p>
        </w:tc>
        <w:tc>
          <w:p w14:paraId="1E01C6EB">
            <w:pPr>
              <w:pStyle w:val="24"/>
              <w:jc w:val="left"/>
            </w:pPr>
            <w:r>
              <w:t>BIGINT</w:t>
            </w:r>
          </w:p>
        </w:tc>
        <w:tc>
          <w:p w14:paraId="4D1FEE00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64CEB9E0">
            <w:pPr>
              <w:pStyle w:val="24"/>
              <w:jc w:val="left"/>
            </w:pPr>
            <w:r>
              <w:rPr>
                <w:rFonts w:hint="eastAsia"/>
              </w:rPr>
              <w:t>主键，自增</w:t>
            </w:r>
          </w:p>
        </w:tc>
      </w:tr>
      <w:tr w14:paraId="674C8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BD42AF">
            <w:pPr>
              <w:pStyle w:val="24"/>
              <w:jc w:val="left"/>
            </w:pPr>
            <w:r>
              <w:t>material_id</w:t>
            </w:r>
          </w:p>
        </w:tc>
        <w:tc>
          <w:p w14:paraId="578B3263">
            <w:pPr>
              <w:pStyle w:val="24"/>
              <w:jc w:val="left"/>
            </w:pPr>
            <w:r>
              <w:t>BIGINT</w:t>
            </w:r>
          </w:p>
        </w:tc>
        <w:tc>
          <w:p w14:paraId="4A13AFBD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573B19C8">
            <w:pPr>
              <w:pStyle w:val="24"/>
              <w:jc w:val="left"/>
            </w:pPr>
            <w:r>
              <w:rPr>
                <w:rFonts w:hint="eastAsia"/>
              </w:rPr>
              <w:t>关联物资主数据表ID</w:t>
            </w:r>
          </w:p>
        </w:tc>
      </w:tr>
      <w:tr w14:paraId="3CD87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30E4C0D">
            <w:pPr>
              <w:pStyle w:val="24"/>
              <w:jc w:val="left"/>
            </w:pPr>
            <w:r>
              <w:t>batch_no</w:t>
            </w:r>
          </w:p>
        </w:tc>
        <w:tc>
          <w:p w14:paraId="2F751BCC">
            <w:pPr>
              <w:pStyle w:val="24"/>
              <w:jc w:val="left"/>
            </w:pPr>
            <w:r>
              <w:t>VARCHAR(64)</w:t>
            </w:r>
          </w:p>
        </w:tc>
        <w:tc>
          <w:p w14:paraId="2F989793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235ECE67">
            <w:pPr>
              <w:pStyle w:val="24"/>
              <w:jc w:val="left"/>
            </w:pPr>
            <w:r>
              <w:rPr>
                <w:rFonts w:hint="eastAsia"/>
              </w:rPr>
              <w:t>生产批次号</w:t>
            </w:r>
          </w:p>
        </w:tc>
      </w:tr>
      <w:tr w14:paraId="6C745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6881418">
            <w:pPr>
              <w:pStyle w:val="24"/>
              <w:jc w:val="left"/>
            </w:pPr>
            <w:r>
              <w:t>production_date</w:t>
            </w:r>
          </w:p>
        </w:tc>
        <w:tc>
          <w:p w14:paraId="71ACE5F1">
            <w:pPr>
              <w:pStyle w:val="24"/>
              <w:jc w:val="left"/>
            </w:pPr>
            <w:r>
              <w:t>DATE</w:t>
            </w:r>
          </w:p>
        </w:tc>
        <w:tc>
          <w:p w14:paraId="0B4164EC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393D2351">
            <w:pPr>
              <w:pStyle w:val="24"/>
              <w:jc w:val="left"/>
            </w:pPr>
            <w:r>
              <w:rPr>
                <w:rFonts w:hint="eastAsia"/>
              </w:rPr>
              <w:t>生产日期</w:t>
            </w:r>
          </w:p>
        </w:tc>
      </w:tr>
      <w:tr w14:paraId="47B99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3FDE170">
            <w:pPr>
              <w:pStyle w:val="24"/>
              <w:jc w:val="left"/>
            </w:pPr>
            <w:r>
              <w:t>expiry_date</w:t>
            </w:r>
          </w:p>
        </w:tc>
        <w:tc>
          <w:p w14:paraId="27CD014E">
            <w:pPr>
              <w:pStyle w:val="24"/>
              <w:jc w:val="left"/>
            </w:pPr>
            <w:r>
              <w:t>DATE</w:t>
            </w:r>
          </w:p>
        </w:tc>
        <w:tc>
          <w:p w14:paraId="0540403D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3220C2F3">
            <w:pPr>
              <w:pStyle w:val="24"/>
              <w:jc w:val="left"/>
            </w:pPr>
            <w:r>
              <w:rPr>
                <w:rFonts w:hint="eastAsia"/>
              </w:rPr>
              <w:t>有效期至</w:t>
            </w:r>
          </w:p>
        </w:tc>
      </w:tr>
      <w:tr w14:paraId="03344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8614F03">
            <w:pPr>
              <w:pStyle w:val="24"/>
              <w:jc w:val="left"/>
            </w:pPr>
            <w:r>
              <w:t>current_stock</w:t>
            </w:r>
          </w:p>
        </w:tc>
        <w:tc>
          <w:p w14:paraId="427C6F8D">
            <w:pPr>
              <w:pStyle w:val="24"/>
              <w:jc w:val="left"/>
            </w:pPr>
            <w:r>
              <w:t>INT</w:t>
            </w:r>
          </w:p>
        </w:tc>
        <w:tc>
          <w:p w14:paraId="3EC7A714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17422E3B">
            <w:pPr>
              <w:pStyle w:val="24"/>
              <w:jc w:val="left"/>
            </w:pPr>
            <w:r>
              <w:rPr>
                <w:rFonts w:hint="eastAsia"/>
              </w:rPr>
              <w:t>当前库存数量</w:t>
            </w:r>
          </w:p>
        </w:tc>
      </w:tr>
      <w:tr w14:paraId="58FB5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605FFE1">
            <w:pPr>
              <w:pStyle w:val="24"/>
              <w:jc w:val="left"/>
            </w:pPr>
            <w:r>
              <w:t>safety_threshold</w:t>
            </w:r>
          </w:p>
        </w:tc>
        <w:tc>
          <w:p w14:paraId="64383752">
            <w:pPr>
              <w:pStyle w:val="24"/>
              <w:jc w:val="left"/>
            </w:pPr>
            <w:r>
              <w:t>INT</w:t>
            </w:r>
          </w:p>
        </w:tc>
        <w:tc>
          <w:p w14:paraId="53EC9C60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4EF4B390">
            <w:pPr>
              <w:pStyle w:val="24"/>
              <w:jc w:val="left"/>
            </w:pPr>
            <w:r>
              <w:rPr>
                <w:rFonts w:hint="eastAsia"/>
              </w:rPr>
              <w:t>安全库存阈值</w:t>
            </w:r>
          </w:p>
        </w:tc>
      </w:tr>
      <w:tr w14:paraId="3046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2CA9F89">
            <w:pPr>
              <w:pStyle w:val="24"/>
              <w:jc w:val="left"/>
            </w:pPr>
            <w:r>
              <w:t>stock_status</w:t>
            </w:r>
          </w:p>
        </w:tc>
        <w:tc>
          <w:p w14:paraId="3C53CE8A">
            <w:pPr>
              <w:pStyle w:val="24"/>
              <w:jc w:val="left"/>
            </w:pPr>
            <w:r>
              <w:t>TINYINT</w:t>
            </w:r>
          </w:p>
        </w:tc>
        <w:tc>
          <w:p w14:paraId="6BDF1341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0C154D4C">
            <w:pPr>
              <w:pStyle w:val="24"/>
              <w:jc w:val="left"/>
            </w:pPr>
            <w:r>
              <w:rPr>
                <w:rFonts w:hint="eastAsia"/>
              </w:rPr>
              <w:t>库存状态（0-待验收，1-已入库，2-已出库，3-已损耗）</w:t>
            </w:r>
          </w:p>
        </w:tc>
      </w:tr>
      <w:bookmarkEnd w:id="18"/>
    </w:tbl>
    <w:p w14:paraId="53B4667D">
      <w:pPr>
        <w:pStyle w:val="6"/>
      </w:pPr>
      <w:bookmarkStart w:id="19" w:name="固定资产扩展表-material_asset_ext"/>
      <w:r>
        <w:t xml:space="preserve">4. </w:t>
      </w:r>
      <w:r>
        <w:rPr>
          <w:rFonts w:hint="eastAsia"/>
        </w:rPr>
        <w:t>固定资产扩展表</w:t>
      </w:r>
      <w:r>
        <w:t xml:space="preserve"> (</w:t>
      </w:r>
      <w:r>
        <w:rPr>
          <w:rStyle w:val="48"/>
        </w:rPr>
        <w:t>material_asset_ext</w:t>
      </w:r>
      <w:r>
        <w:t>)</w:t>
      </w:r>
    </w:p>
    <w:p w14:paraId="345F97CD">
      <w:pPr>
        <w:pStyle w:val="23"/>
      </w:pPr>
      <w:r>
        <w:rPr>
          <w:rFonts w:hint="eastAsia"/>
        </w:rPr>
        <w:t>针对高值固定资产及软件，重点管理财务属性与全生命周期。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 w14:paraId="1A0FA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7F9AABC8">
            <w:pPr>
              <w:pStyle w:val="24"/>
              <w:jc w:val="left"/>
            </w:pPr>
            <w:r>
              <w:rPr>
                <w:rFonts w:hint="eastAsia"/>
              </w:rPr>
              <w:t>字段名称</w:t>
            </w:r>
          </w:p>
        </w:tc>
        <w:tc>
          <w:p w14:paraId="367E5EC6">
            <w:pPr>
              <w:pStyle w:val="24"/>
              <w:jc w:val="left"/>
            </w:pPr>
            <w:r>
              <w:rPr>
                <w:rFonts w:hint="eastAsia"/>
              </w:rPr>
              <w:t>字段类型</w:t>
            </w:r>
          </w:p>
        </w:tc>
        <w:tc>
          <w:p w14:paraId="0A89DBDD">
            <w:pPr>
              <w:pStyle w:val="24"/>
              <w:jc w:val="left"/>
            </w:pPr>
            <w:r>
              <w:rPr>
                <w:rFonts w:hint="eastAsia"/>
              </w:rPr>
              <w:t>必填</w:t>
            </w:r>
          </w:p>
        </w:tc>
        <w:tc>
          <w:p w14:paraId="2FF7560B">
            <w:pPr>
              <w:pStyle w:val="24"/>
              <w:jc w:val="left"/>
            </w:pPr>
            <w:r>
              <w:rPr>
                <w:rFonts w:hint="eastAsia"/>
              </w:rPr>
              <w:t>字段说明</w:t>
            </w:r>
          </w:p>
        </w:tc>
      </w:tr>
      <w:tr w14:paraId="016C5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D12026B">
            <w:pPr>
              <w:pStyle w:val="24"/>
              <w:jc w:val="left"/>
            </w:pPr>
            <w:r>
              <w:t>id</w:t>
            </w:r>
          </w:p>
        </w:tc>
        <w:tc>
          <w:p w14:paraId="1FFD9F09">
            <w:pPr>
              <w:pStyle w:val="24"/>
              <w:jc w:val="left"/>
            </w:pPr>
            <w:r>
              <w:t>BIGINT</w:t>
            </w:r>
          </w:p>
        </w:tc>
        <w:tc>
          <w:p w14:paraId="08F1A750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1FECE8BB">
            <w:pPr>
              <w:pStyle w:val="24"/>
              <w:jc w:val="left"/>
            </w:pPr>
            <w:r>
              <w:rPr>
                <w:rFonts w:hint="eastAsia"/>
              </w:rPr>
              <w:t>主键，自增</w:t>
            </w:r>
          </w:p>
        </w:tc>
      </w:tr>
      <w:tr w14:paraId="45D11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A157790">
            <w:pPr>
              <w:pStyle w:val="24"/>
              <w:jc w:val="left"/>
            </w:pPr>
            <w:r>
              <w:t>material_id</w:t>
            </w:r>
          </w:p>
        </w:tc>
        <w:tc>
          <w:p w14:paraId="77792FC2">
            <w:pPr>
              <w:pStyle w:val="24"/>
              <w:jc w:val="left"/>
            </w:pPr>
            <w:r>
              <w:t>BIGINT</w:t>
            </w:r>
          </w:p>
        </w:tc>
        <w:tc>
          <w:p w14:paraId="408E5D0E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469B482C">
            <w:pPr>
              <w:pStyle w:val="24"/>
              <w:jc w:val="left"/>
            </w:pPr>
            <w:r>
              <w:rPr>
                <w:rFonts w:hint="eastAsia"/>
              </w:rPr>
              <w:t>关联物资主数据表ID</w:t>
            </w:r>
          </w:p>
        </w:tc>
      </w:tr>
      <w:tr w14:paraId="57AA5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9594036">
            <w:pPr>
              <w:pStyle w:val="24"/>
              <w:jc w:val="left"/>
            </w:pPr>
            <w:r>
              <w:t>serial_number</w:t>
            </w:r>
          </w:p>
        </w:tc>
        <w:tc>
          <w:p w14:paraId="0D0A8FC0">
            <w:pPr>
              <w:pStyle w:val="24"/>
              <w:jc w:val="left"/>
            </w:pPr>
            <w:r>
              <w:t>VARCHAR(128)</w:t>
            </w:r>
          </w:p>
        </w:tc>
        <w:tc>
          <w:p w14:paraId="3944A3B8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27CE8CE8">
            <w:pPr>
              <w:pStyle w:val="24"/>
              <w:jc w:val="left"/>
            </w:pPr>
            <w:r>
              <w:rPr>
                <w:rFonts w:hint="eastAsia"/>
              </w:rPr>
              <w:t>资产序列号(SN)或软件授权码</w:t>
            </w:r>
          </w:p>
        </w:tc>
      </w:tr>
      <w:tr w14:paraId="65EA8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D8FE97">
            <w:pPr>
              <w:pStyle w:val="24"/>
              <w:jc w:val="left"/>
            </w:pPr>
            <w:r>
              <w:t>original_value</w:t>
            </w:r>
          </w:p>
        </w:tc>
        <w:tc>
          <w:p w14:paraId="68D8E503">
            <w:pPr>
              <w:pStyle w:val="24"/>
              <w:jc w:val="left"/>
            </w:pPr>
            <w:r>
              <w:t>DECIMAL(12,2)</w:t>
            </w:r>
          </w:p>
        </w:tc>
        <w:tc>
          <w:p w14:paraId="4A5D566D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381FD985">
            <w:pPr>
              <w:pStyle w:val="24"/>
              <w:jc w:val="left"/>
            </w:pPr>
            <w:r>
              <w:rPr>
                <w:rFonts w:hint="eastAsia"/>
              </w:rPr>
              <w:t>财务原值</w:t>
            </w:r>
          </w:p>
        </w:tc>
      </w:tr>
      <w:tr w14:paraId="5C532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4A60CEC">
            <w:pPr>
              <w:pStyle w:val="24"/>
              <w:jc w:val="left"/>
            </w:pPr>
            <w:r>
              <w:t>enable_date</w:t>
            </w:r>
          </w:p>
        </w:tc>
        <w:tc>
          <w:p w14:paraId="21E2563D">
            <w:pPr>
              <w:pStyle w:val="24"/>
              <w:jc w:val="left"/>
            </w:pPr>
            <w:r>
              <w:t>DATE</w:t>
            </w:r>
          </w:p>
        </w:tc>
        <w:tc>
          <w:p w14:paraId="6F7DBAD6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18D14EB4">
            <w:pPr>
              <w:pStyle w:val="24"/>
              <w:jc w:val="left"/>
            </w:pPr>
            <w:r>
              <w:rPr>
                <w:rFonts w:hint="eastAsia"/>
              </w:rPr>
              <w:t>启用/安装日期</w:t>
            </w:r>
          </w:p>
        </w:tc>
      </w:tr>
      <w:tr w14:paraId="21E51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3D4A7CE">
            <w:pPr>
              <w:pStyle w:val="24"/>
              <w:jc w:val="left"/>
            </w:pPr>
            <w:r>
              <w:t>depreciation_years</w:t>
            </w:r>
          </w:p>
        </w:tc>
        <w:tc>
          <w:p w14:paraId="35C1D566">
            <w:pPr>
              <w:pStyle w:val="24"/>
              <w:jc w:val="left"/>
            </w:pPr>
            <w:r>
              <w:t>INT</w:t>
            </w:r>
          </w:p>
        </w:tc>
        <w:tc>
          <w:p w14:paraId="54D5C76C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5E16F73E">
            <w:pPr>
              <w:pStyle w:val="24"/>
              <w:jc w:val="left"/>
            </w:pPr>
            <w:r>
              <w:rPr>
                <w:rFonts w:hint="eastAsia"/>
              </w:rPr>
              <w:t>折旧年限</w:t>
            </w:r>
          </w:p>
        </w:tc>
      </w:tr>
      <w:tr w14:paraId="7B57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42BFC86">
            <w:pPr>
              <w:pStyle w:val="24"/>
              <w:jc w:val="left"/>
            </w:pPr>
            <w:r>
              <w:t>dept_id</w:t>
            </w:r>
          </w:p>
        </w:tc>
        <w:tc>
          <w:p w14:paraId="6CF62918">
            <w:pPr>
              <w:pStyle w:val="24"/>
              <w:jc w:val="left"/>
            </w:pPr>
            <w:r>
              <w:t>BIGINT</w:t>
            </w:r>
          </w:p>
        </w:tc>
        <w:tc>
          <w:p w14:paraId="66A5FCF2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1EC02D18">
            <w:pPr>
              <w:pStyle w:val="24"/>
              <w:jc w:val="left"/>
            </w:pPr>
            <w:r>
              <w:rPr>
                <w:rFonts w:hint="eastAsia"/>
              </w:rPr>
              <w:t>使用部门ID</w:t>
            </w:r>
          </w:p>
        </w:tc>
      </w:tr>
      <w:tr w14:paraId="29105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6D3F1DE">
            <w:pPr>
              <w:pStyle w:val="24"/>
              <w:jc w:val="left"/>
            </w:pPr>
            <w:r>
              <w:t>owner_id</w:t>
            </w:r>
          </w:p>
        </w:tc>
        <w:tc>
          <w:p w14:paraId="1D3AF977">
            <w:pPr>
              <w:pStyle w:val="24"/>
              <w:jc w:val="left"/>
            </w:pPr>
            <w:r>
              <w:t>BIGINT</w:t>
            </w:r>
          </w:p>
        </w:tc>
        <w:tc>
          <w:p w14:paraId="75AA5DA3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0E6EF1D5">
            <w:pPr>
              <w:pStyle w:val="24"/>
              <w:jc w:val="left"/>
            </w:pPr>
            <w:r>
              <w:rPr>
                <w:rFonts w:hint="eastAsia"/>
              </w:rPr>
              <w:t>责任人ID</w:t>
            </w:r>
          </w:p>
        </w:tc>
      </w:tr>
      <w:tr w14:paraId="42FBD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48E16AB">
            <w:pPr>
              <w:pStyle w:val="24"/>
              <w:jc w:val="left"/>
            </w:pPr>
            <w:r>
              <w:t>asset_status</w:t>
            </w:r>
          </w:p>
        </w:tc>
        <w:tc>
          <w:p w14:paraId="5BCBF1DF">
            <w:pPr>
              <w:pStyle w:val="24"/>
              <w:jc w:val="left"/>
            </w:pPr>
            <w:r>
              <w:t>TINYINT</w:t>
            </w:r>
          </w:p>
        </w:tc>
        <w:tc>
          <w:p w14:paraId="7C6A17AF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78E95C0A">
            <w:pPr>
              <w:pStyle w:val="24"/>
              <w:jc w:val="left"/>
            </w:pPr>
            <w:r>
              <w:rPr>
                <w:rFonts w:hint="eastAsia"/>
              </w:rPr>
              <w:t>资产状态（0-在用，1-闲置，2-维修中，3-已拆除，4-已报废）</w:t>
            </w:r>
          </w:p>
        </w:tc>
      </w:tr>
      <w:tr w14:paraId="30E71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AF5A2B6">
            <w:pPr>
              <w:pStyle w:val="24"/>
              <w:jc w:val="left"/>
            </w:pPr>
            <w:r>
              <w:t>warranty_expire_date</w:t>
            </w:r>
          </w:p>
        </w:tc>
        <w:tc>
          <w:p w14:paraId="58BD9607">
            <w:pPr>
              <w:pStyle w:val="24"/>
              <w:jc w:val="left"/>
            </w:pPr>
            <w:r>
              <w:t>DATE</w:t>
            </w:r>
          </w:p>
        </w:tc>
        <w:tc>
          <w:p w14:paraId="58A93494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1EE84FCE">
            <w:pPr>
              <w:pStyle w:val="24"/>
              <w:jc w:val="left"/>
            </w:pPr>
            <w:r>
              <w:rPr>
                <w:rFonts w:hint="eastAsia"/>
              </w:rPr>
              <w:t>维保/保修到期日</w:t>
            </w:r>
          </w:p>
        </w:tc>
      </w:tr>
      <w:bookmarkEnd w:id="19"/>
    </w:tbl>
    <w:p w14:paraId="02C5658F">
      <w:pPr>
        <w:pStyle w:val="6"/>
      </w:pPr>
      <w:bookmarkStart w:id="20" w:name="物资状态流转记录表-material_lifecycle_log"/>
      <w:r>
        <w:t xml:space="preserve">5. </w:t>
      </w:r>
      <w:r>
        <w:rPr>
          <w:rFonts w:hint="eastAsia"/>
        </w:rPr>
        <w:t>物资状态流转记录表</w:t>
      </w:r>
      <w:r>
        <w:t xml:space="preserve"> (</w:t>
      </w:r>
      <w:r>
        <w:rPr>
          <w:rStyle w:val="48"/>
        </w:rPr>
        <w:t>material_lifecycle_log</w:t>
      </w:r>
      <w:r>
        <w:t>)</w:t>
      </w:r>
    </w:p>
    <w:p w14:paraId="7E0F09F0">
      <w:pPr>
        <w:pStyle w:val="23"/>
      </w:pPr>
      <w:r>
        <w:rPr>
          <w:rFonts w:hint="eastAsia"/>
        </w:rPr>
        <w:t>记录物资与资产的全生命周期动作，形成审计追溯链条。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 w14:paraId="00B1A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079A2686">
            <w:pPr>
              <w:pStyle w:val="24"/>
              <w:jc w:val="left"/>
            </w:pPr>
            <w:r>
              <w:rPr>
                <w:rFonts w:hint="eastAsia"/>
              </w:rPr>
              <w:t>字段名称</w:t>
            </w:r>
          </w:p>
        </w:tc>
        <w:tc>
          <w:p w14:paraId="4EAF1511">
            <w:pPr>
              <w:pStyle w:val="24"/>
              <w:jc w:val="left"/>
            </w:pPr>
            <w:r>
              <w:rPr>
                <w:rFonts w:hint="eastAsia"/>
              </w:rPr>
              <w:t>字段类型</w:t>
            </w:r>
          </w:p>
        </w:tc>
        <w:tc>
          <w:p w14:paraId="6B5A6A1B">
            <w:pPr>
              <w:pStyle w:val="24"/>
              <w:jc w:val="left"/>
            </w:pPr>
            <w:r>
              <w:rPr>
                <w:rFonts w:hint="eastAsia"/>
              </w:rPr>
              <w:t>必填</w:t>
            </w:r>
          </w:p>
        </w:tc>
        <w:tc>
          <w:p w14:paraId="68483941">
            <w:pPr>
              <w:pStyle w:val="24"/>
              <w:jc w:val="left"/>
            </w:pPr>
            <w:r>
              <w:rPr>
                <w:rFonts w:hint="eastAsia"/>
              </w:rPr>
              <w:t>字段说明</w:t>
            </w:r>
          </w:p>
        </w:tc>
      </w:tr>
      <w:tr w14:paraId="3ECA8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3D252F4">
            <w:pPr>
              <w:pStyle w:val="24"/>
              <w:jc w:val="left"/>
            </w:pPr>
            <w:r>
              <w:t>id</w:t>
            </w:r>
          </w:p>
        </w:tc>
        <w:tc>
          <w:p w14:paraId="2523F45C">
            <w:pPr>
              <w:pStyle w:val="24"/>
              <w:jc w:val="left"/>
            </w:pPr>
            <w:r>
              <w:t>BIGINT</w:t>
            </w:r>
          </w:p>
        </w:tc>
        <w:tc>
          <w:p w14:paraId="79D171FC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3942353F">
            <w:pPr>
              <w:pStyle w:val="24"/>
              <w:jc w:val="left"/>
            </w:pPr>
            <w:r>
              <w:rPr>
                <w:rFonts w:hint="eastAsia"/>
              </w:rPr>
              <w:t>主键，自增</w:t>
            </w:r>
          </w:p>
        </w:tc>
      </w:tr>
      <w:tr w14:paraId="7E5BC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455D4BD">
            <w:pPr>
              <w:pStyle w:val="24"/>
              <w:jc w:val="left"/>
            </w:pPr>
            <w:r>
              <w:t>material_id</w:t>
            </w:r>
          </w:p>
        </w:tc>
        <w:tc>
          <w:p w14:paraId="7DB7E6C0">
            <w:pPr>
              <w:pStyle w:val="24"/>
              <w:jc w:val="left"/>
            </w:pPr>
            <w:r>
              <w:t>BIGINT</w:t>
            </w:r>
          </w:p>
        </w:tc>
        <w:tc>
          <w:p w14:paraId="2727D588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5F396849">
            <w:pPr>
              <w:pStyle w:val="24"/>
              <w:jc w:val="left"/>
            </w:pPr>
            <w:r>
              <w:rPr>
                <w:rFonts w:hint="eastAsia"/>
              </w:rPr>
              <w:t>关联物资主数据表ID</w:t>
            </w:r>
          </w:p>
        </w:tc>
      </w:tr>
      <w:tr w14:paraId="6D91B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75AA7DF">
            <w:pPr>
              <w:pStyle w:val="24"/>
              <w:jc w:val="left"/>
            </w:pPr>
            <w:r>
              <w:t>action_type</w:t>
            </w:r>
          </w:p>
        </w:tc>
        <w:tc>
          <w:p w14:paraId="64AFCE40">
            <w:pPr>
              <w:pStyle w:val="24"/>
              <w:jc w:val="left"/>
            </w:pPr>
            <w:r>
              <w:t>TINYINT</w:t>
            </w:r>
          </w:p>
        </w:tc>
        <w:tc>
          <w:p w14:paraId="7C120453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1729D7EB">
            <w:pPr>
              <w:pStyle w:val="24"/>
              <w:jc w:val="left"/>
            </w:pPr>
            <w:r>
              <w:rPr>
                <w:rFonts w:hint="eastAsia"/>
              </w:rPr>
              <w:t>动作类型（1-采购入库，2-领用出库，3-现场安装，4-拆除退库，5-报损，6-报废处置）</w:t>
            </w:r>
          </w:p>
        </w:tc>
      </w:tr>
      <w:tr w14:paraId="40153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4A5E0FF">
            <w:pPr>
              <w:pStyle w:val="24"/>
              <w:jc w:val="left"/>
            </w:pPr>
            <w:r>
              <w:t>action_time</w:t>
            </w:r>
          </w:p>
        </w:tc>
        <w:tc>
          <w:p w14:paraId="593EDACF">
            <w:pPr>
              <w:pStyle w:val="24"/>
              <w:jc w:val="left"/>
            </w:pPr>
            <w:r>
              <w:t>DATETIME</w:t>
            </w:r>
          </w:p>
        </w:tc>
        <w:tc>
          <w:p w14:paraId="28FBACBE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76942F6B">
            <w:pPr>
              <w:pStyle w:val="24"/>
              <w:jc w:val="left"/>
            </w:pPr>
            <w:r>
              <w:rPr>
                <w:rFonts w:hint="eastAsia"/>
              </w:rPr>
              <w:t>动作发生时间</w:t>
            </w:r>
          </w:p>
        </w:tc>
      </w:tr>
      <w:tr w14:paraId="43750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1349994">
            <w:pPr>
              <w:pStyle w:val="24"/>
              <w:jc w:val="left"/>
            </w:pPr>
            <w:r>
              <w:t>operator_id</w:t>
            </w:r>
          </w:p>
        </w:tc>
        <w:tc>
          <w:p w14:paraId="7B7FEC43">
            <w:pPr>
              <w:pStyle w:val="24"/>
              <w:jc w:val="left"/>
            </w:pPr>
            <w:r>
              <w:t>BIGINT</w:t>
            </w:r>
          </w:p>
        </w:tc>
        <w:tc>
          <w:p w14:paraId="36EF2DBE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55C44A68">
            <w:pPr>
              <w:pStyle w:val="24"/>
              <w:jc w:val="left"/>
            </w:pPr>
            <w:r>
              <w:rPr>
                <w:rFonts w:hint="eastAsia"/>
              </w:rPr>
              <w:t>操作人/责任人ID</w:t>
            </w:r>
          </w:p>
        </w:tc>
      </w:tr>
      <w:tr w14:paraId="3DF62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DFD3099">
            <w:pPr>
              <w:pStyle w:val="24"/>
              <w:jc w:val="left"/>
            </w:pPr>
            <w:r>
              <w:t>related_doc_no</w:t>
            </w:r>
          </w:p>
        </w:tc>
        <w:tc>
          <w:p w14:paraId="612A75DF">
            <w:pPr>
              <w:pStyle w:val="24"/>
              <w:jc w:val="left"/>
            </w:pPr>
            <w:r>
              <w:t>VARCHAR(64)</w:t>
            </w:r>
          </w:p>
        </w:tc>
        <w:tc>
          <w:p w14:paraId="4412F900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63CA943C">
            <w:pPr>
              <w:pStyle w:val="24"/>
              <w:jc w:val="left"/>
            </w:pPr>
            <w:r>
              <w:rPr>
                <w:rFonts w:hint="eastAsia"/>
              </w:rPr>
              <w:t>关联单据号（采购单/出库单/工单号等）</w:t>
            </w:r>
          </w:p>
        </w:tc>
      </w:tr>
      <w:tr w14:paraId="10A6B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27509F9">
            <w:pPr>
              <w:pStyle w:val="24"/>
              <w:jc w:val="left"/>
            </w:pPr>
            <w:r>
              <w:t>change_snapshot</w:t>
            </w:r>
          </w:p>
        </w:tc>
        <w:tc>
          <w:p w14:paraId="06090275">
            <w:pPr>
              <w:pStyle w:val="24"/>
              <w:jc w:val="left"/>
            </w:pPr>
            <w:r>
              <w:t>JSON</w:t>
            </w:r>
          </w:p>
        </w:tc>
        <w:tc>
          <w:p w14:paraId="69C5B335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1A1254F9">
            <w:pPr>
              <w:pStyle w:val="24"/>
              <w:jc w:val="left"/>
            </w:pPr>
            <w:r>
              <w:rPr>
                <w:rFonts w:hint="eastAsia"/>
              </w:rPr>
              <w:t>变更前后状态或数量差异快照</w:t>
            </w:r>
          </w:p>
        </w:tc>
      </w:tr>
      <w:tr w14:paraId="35A7F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F6F3A00">
            <w:pPr>
              <w:pStyle w:val="24"/>
              <w:jc w:val="left"/>
            </w:pPr>
            <w:r>
              <w:t>remark</w:t>
            </w:r>
          </w:p>
        </w:tc>
        <w:tc>
          <w:p w14:paraId="513DD8B6">
            <w:pPr>
              <w:pStyle w:val="24"/>
              <w:jc w:val="left"/>
            </w:pPr>
            <w:r>
              <w:t>TEXT</w:t>
            </w:r>
          </w:p>
        </w:tc>
        <w:tc>
          <w:p w14:paraId="46C1C2D1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525F471D">
            <w:pPr>
              <w:pStyle w:val="24"/>
              <w:jc w:val="left"/>
            </w:pPr>
            <w:r>
              <w:rPr>
                <w:rFonts w:hint="eastAsia"/>
              </w:rPr>
              <w:t>备注及凭证附件路径</w:t>
            </w:r>
          </w:p>
        </w:tc>
      </w:tr>
      <w:bookmarkEnd w:id="20"/>
    </w:tbl>
    <w:p w14:paraId="690B7EA3">
      <w:pPr>
        <w:pStyle w:val="6"/>
      </w:pPr>
      <w:bookmarkStart w:id="21" w:name="审批流配置表-approval_flow_config"/>
      <w:r>
        <w:t xml:space="preserve">6. </w:t>
      </w:r>
      <w:r>
        <w:rPr>
          <w:rFonts w:hint="eastAsia"/>
        </w:rPr>
        <w:t>审批流配置表</w:t>
      </w:r>
      <w:r>
        <w:t xml:space="preserve"> (</w:t>
      </w:r>
      <w:r>
        <w:rPr>
          <w:rStyle w:val="48"/>
        </w:rPr>
        <w:t>approval_flow_config</w:t>
      </w:r>
      <w:r>
        <w:t>)</w:t>
      </w:r>
    </w:p>
    <w:p w14:paraId="4FC69AA4">
      <w:pPr>
        <w:pStyle w:val="23"/>
      </w:pPr>
      <w:r>
        <w:rPr>
          <w:rFonts w:hint="eastAsia"/>
        </w:rPr>
        <w:t>用于可视化流程设计器，定义业务流转节点与条件路由。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 w14:paraId="29704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79AC1E4E">
            <w:pPr>
              <w:pStyle w:val="24"/>
              <w:jc w:val="left"/>
            </w:pPr>
            <w:r>
              <w:rPr>
                <w:rFonts w:hint="eastAsia"/>
              </w:rPr>
              <w:t>字段名称</w:t>
            </w:r>
          </w:p>
        </w:tc>
        <w:tc>
          <w:p w14:paraId="14EAA2FE">
            <w:pPr>
              <w:pStyle w:val="24"/>
              <w:jc w:val="left"/>
            </w:pPr>
            <w:r>
              <w:rPr>
                <w:rFonts w:hint="eastAsia"/>
              </w:rPr>
              <w:t>字段类型</w:t>
            </w:r>
          </w:p>
        </w:tc>
        <w:tc>
          <w:p w14:paraId="5D9BA087">
            <w:pPr>
              <w:pStyle w:val="24"/>
              <w:jc w:val="left"/>
            </w:pPr>
            <w:r>
              <w:rPr>
                <w:rFonts w:hint="eastAsia"/>
              </w:rPr>
              <w:t>必填</w:t>
            </w:r>
          </w:p>
        </w:tc>
        <w:tc>
          <w:p w14:paraId="135B808F">
            <w:pPr>
              <w:pStyle w:val="24"/>
              <w:jc w:val="left"/>
            </w:pPr>
            <w:r>
              <w:rPr>
                <w:rFonts w:hint="eastAsia"/>
              </w:rPr>
              <w:t>字段说明</w:t>
            </w:r>
          </w:p>
        </w:tc>
      </w:tr>
      <w:tr w14:paraId="0C2CB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FFF1C6D">
            <w:pPr>
              <w:pStyle w:val="24"/>
              <w:jc w:val="left"/>
            </w:pPr>
            <w:r>
              <w:t>id</w:t>
            </w:r>
          </w:p>
        </w:tc>
        <w:tc>
          <w:p w14:paraId="52CA4481">
            <w:pPr>
              <w:pStyle w:val="24"/>
              <w:jc w:val="left"/>
            </w:pPr>
            <w:r>
              <w:t>BIGINT</w:t>
            </w:r>
          </w:p>
        </w:tc>
        <w:tc>
          <w:p w14:paraId="2AA41408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5BE180D4">
            <w:pPr>
              <w:pStyle w:val="24"/>
              <w:jc w:val="left"/>
            </w:pPr>
            <w:r>
              <w:rPr>
                <w:rFonts w:hint="eastAsia"/>
              </w:rPr>
              <w:t>主键，自增</w:t>
            </w:r>
          </w:p>
        </w:tc>
      </w:tr>
      <w:tr w14:paraId="042F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DE9256E">
            <w:pPr>
              <w:pStyle w:val="24"/>
              <w:jc w:val="left"/>
            </w:pPr>
            <w:r>
              <w:t>flow_name</w:t>
            </w:r>
          </w:p>
        </w:tc>
        <w:tc>
          <w:p w14:paraId="5AAF59FB">
            <w:pPr>
              <w:pStyle w:val="24"/>
              <w:jc w:val="left"/>
            </w:pPr>
            <w:r>
              <w:t>VARCHAR(100)</w:t>
            </w:r>
          </w:p>
        </w:tc>
        <w:tc>
          <w:p w14:paraId="6E9A4F5F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770A0514">
            <w:pPr>
              <w:pStyle w:val="24"/>
              <w:jc w:val="left"/>
            </w:pPr>
            <w:r>
              <w:rPr>
                <w:rFonts w:hint="eastAsia"/>
              </w:rPr>
              <w:t>流程名称</w:t>
            </w:r>
          </w:p>
        </w:tc>
      </w:tr>
      <w:tr w14:paraId="7F8E6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4C03D77">
            <w:pPr>
              <w:pStyle w:val="24"/>
              <w:jc w:val="left"/>
            </w:pPr>
            <w:r>
              <w:t>biz_type</w:t>
            </w:r>
          </w:p>
        </w:tc>
        <w:tc>
          <w:p w14:paraId="410E2861">
            <w:pPr>
              <w:pStyle w:val="24"/>
              <w:jc w:val="left"/>
            </w:pPr>
            <w:r>
              <w:t>TINYINT</w:t>
            </w:r>
          </w:p>
        </w:tc>
        <w:tc>
          <w:p w14:paraId="1C7AE547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2EE2E36B">
            <w:pPr>
              <w:pStyle w:val="24"/>
              <w:jc w:val="left"/>
            </w:pPr>
            <w:r>
              <w:rPr>
                <w:rFonts w:hint="eastAsia"/>
              </w:rPr>
              <w:t>关联业务类型（1-报修审批，2-采购审批，3-报废审批）</w:t>
            </w:r>
          </w:p>
        </w:tc>
      </w:tr>
      <w:tr w14:paraId="0DEE1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E45D42F">
            <w:pPr>
              <w:pStyle w:val="24"/>
              <w:jc w:val="left"/>
            </w:pPr>
            <w:r>
              <w:t>node_config</w:t>
            </w:r>
          </w:p>
        </w:tc>
        <w:tc>
          <w:p w14:paraId="7ABB66F2">
            <w:pPr>
              <w:pStyle w:val="24"/>
              <w:jc w:val="left"/>
            </w:pPr>
            <w:r>
              <w:t>JSON</w:t>
            </w:r>
          </w:p>
        </w:tc>
        <w:tc>
          <w:p w14:paraId="2DE9F11F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5CFE51B8">
            <w:pPr>
              <w:pStyle w:val="24"/>
              <w:jc w:val="left"/>
            </w:pPr>
            <w:r>
              <w:rPr>
                <w:rFonts w:hint="eastAsia"/>
              </w:rPr>
              <w:t>节点配置（包含条件路由、审批人规则等）</w:t>
            </w:r>
          </w:p>
        </w:tc>
      </w:tr>
      <w:tr w14:paraId="07CE6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789E811">
            <w:pPr>
              <w:pStyle w:val="24"/>
              <w:jc w:val="left"/>
            </w:pPr>
            <w:r>
              <w:t>version</w:t>
            </w:r>
          </w:p>
        </w:tc>
        <w:tc>
          <w:p w14:paraId="1EC1EDE6">
            <w:pPr>
              <w:pStyle w:val="24"/>
              <w:jc w:val="left"/>
            </w:pPr>
            <w:r>
              <w:t>INT</w:t>
            </w:r>
          </w:p>
        </w:tc>
        <w:tc>
          <w:p w14:paraId="3B45486D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6F8C4B59">
            <w:pPr>
              <w:pStyle w:val="24"/>
              <w:jc w:val="left"/>
            </w:pPr>
            <w:r>
              <w:rPr>
                <w:rFonts w:hint="eastAsia"/>
              </w:rPr>
              <w:t>流程版本号</w:t>
            </w:r>
          </w:p>
        </w:tc>
      </w:tr>
      <w:tr w14:paraId="356C4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9A9C57F">
            <w:pPr>
              <w:pStyle w:val="24"/>
              <w:jc w:val="left"/>
            </w:pPr>
            <w:r>
              <w:t>is_active</w:t>
            </w:r>
          </w:p>
        </w:tc>
        <w:tc>
          <w:p w14:paraId="642894ED">
            <w:pPr>
              <w:pStyle w:val="24"/>
              <w:jc w:val="left"/>
            </w:pPr>
            <w:r>
              <w:t>TINYINT</w:t>
            </w:r>
          </w:p>
        </w:tc>
        <w:tc>
          <w:p w14:paraId="60B9C1E4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310392F1">
            <w:pPr>
              <w:pStyle w:val="24"/>
              <w:jc w:val="left"/>
            </w:pPr>
            <w:r>
              <w:rPr>
                <w:rFonts w:hint="eastAsia"/>
              </w:rPr>
              <w:t>是否启用（0-停用，1-启用）</w:t>
            </w:r>
          </w:p>
        </w:tc>
      </w:tr>
      <w:bookmarkEnd w:id="21"/>
    </w:tbl>
    <w:p w14:paraId="0CBD4428">
      <w:pPr>
        <w:pStyle w:val="6"/>
      </w:pPr>
      <w:bookmarkStart w:id="22" w:name="权限角色表-sys_role"/>
      <w:r>
        <w:t xml:space="preserve">7. </w:t>
      </w:r>
      <w:r>
        <w:rPr>
          <w:rFonts w:hint="eastAsia"/>
        </w:rPr>
        <w:t>权限角色表</w:t>
      </w:r>
      <w:r>
        <w:t xml:space="preserve"> (</w:t>
      </w:r>
      <w:r>
        <w:rPr>
          <w:rStyle w:val="48"/>
        </w:rPr>
        <w:t>sys_role</w:t>
      </w:r>
      <w:r>
        <w:t>)</w:t>
      </w:r>
    </w:p>
    <w:p w14:paraId="17C51A74">
      <w:pPr>
        <w:pStyle w:val="23"/>
      </w:pPr>
      <w:r>
        <w:rPr>
          <w:rFonts w:hint="eastAsia"/>
        </w:rPr>
        <w:t>基于RBAC模型，定义系统角色与数据权限隔离规则。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 w14:paraId="09F05730">
        <w:trPr>
          <w:tblHeader/>
        </w:trPr>
        <w:tc>
          <w:p w14:paraId="53925A05">
            <w:pPr>
              <w:pStyle w:val="24"/>
              <w:jc w:val="left"/>
            </w:pPr>
            <w:r>
              <w:rPr>
                <w:rFonts w:hint="eastAsia"/>
              </w:rPr>
              <w:t>字段名称</w:t>
            </w:r>
          </w:p>
        </w:tc>
        <w:tc>
          <w:p w14:paraId="3D5633E3">
            <w:pPr>
              <w:pStyle w:val="24"/>
              <w:jc w:val="left"/>
            </w:pPr>
            <w:r>
              <w:rPr>
                <w:rFonts w:hint="eastAsia"/>
              </w:rPr>
              <w:t>字段类型</w:t>
            </w:r>
          </w:p>
        </w:tc>
        <w:tc>
          <w:p w14:paraId="37C78550">
            <w:pPr>
              <w:pStyle w:val="24"/>
              <w:jc w:val="left"/>
            </w:pPr>
            <w:r>
              <w:rPr>
                <w:rFonts w:hint="eastAsia"/>
              </w:rPr>
              <w:t>必填</w:t>
            </w:r>
          </w:p>
        </w:tc>
        <w:tc>
          <w:p w14:paraId="27DBB749">
            <w:pPr>
              <w:pStyle w:val="24"/>
              <w:jc w:val="left"/>
            </w:pPr>
            <w:r>
              <w:rPr>
                <w:rFonts w:hint="eastAsia"/>
              </w:rPr>
              <w:t>字段说明</w:t>
            </w:r>
          </w:p>
        </w:tc>
      </w:tr>
      <w:tr w14:paraId="6A383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B62BC4E">
            <w:pPr>
              <w:pStyle w:val="24"/>
              <w:jc w:val="left"/>
            </w:pPr>
            <w:r>
              <w:t>id</w:t>
            </w:r>
          </w:p>
        </w:tc>
        <w:tc>
          <w:p w14:paraId="38C739A3">
            <w:pPr>
              <w:pStyle w:val="24"/>
              <w:jc w:val="left"/>
            </w:pPr>
            <w:r>
              <w:t>BIGINT</w:t>
            </w:r>
          </w:p>
        </w:tc>
        <w:tc>
          <w:p w14:paraId="7F837CE1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3CC8D4D3">
            <w:pPr>
              <w:pStyle w:val="24"/>
              <w:jc w:val="left"/>
            </w:pPr>
            <w:r>
              <w:rPr>
                <w:rFonts w:hint="eastAsia"/>
              </w:rPr>
              <w:t>主键，自增</w:t>
            </w:r>
          </w:p>
        </w:tc>
      </w:tr>
      <w:tr w14:paraId="04BCD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3A6709F">
            <w:pPr>
              <w:pStyle w:val="24"/>
              <w:jc w:val="left"/>
            </w:pPr>
            <w:r>
              <w:t>role_code</w:t>
            </w:r>
          </w:p>
        </w:tc>
        <w:tc>
          <w:p w14:paraId="16A11211">
            <w:pPr>
              <w:pStyle w:val="24"/>
              <w:jc w:val="left"/>
            </w:pPr>
            <w:r>
              <w:t>VARCHAR(50)</w:t>
            </w:r>
          </w:p>
        </w:tc>
        <w:tc>
          <w:p w14:paraId="230933A5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4B99D237">
            <w:pPr>
              <w:pStyle w:val="24"/>
              <w:jc w:val="left"/>
            </w:pPr>
            <w:r>
              <w:rPr>
                <w:rFonts w:hint="eastAsia"/>
              </w:rPr>
              <w:t>角色编码（如：admin,</w:t>
            </w:r>
            <w:r>
              <w:t xml:space="preserve"> reporter, </w:t>
            </w:r>
            <w:r>
              <w:rPr>
                <w:rFonts w:hint="eastAsia"/>
              </w:rPr>
              <w:t>handler）</w:t>
            </w:r>
          </w:p>
        </w:tc>
      </w:tr>
      <w:tr w14:paraId="203CB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B0A307E">
            <w:pPr>
              <w:pStyle w:val="24"/>
              <w:jc w:val="left"/>
            </w:pPr>
            <w:r>
              <w:t>role_name</w:t>
            </w:r>
          </w:p>
        </w:tc>
        <w:tc>
          <w:p w14:paraId="2DDAD18C">
            <w:pPr>
              <w:pStyle w:val="24"/>
              <w:jc w:val="left"/>
            </w:pPr>
            <w:r>
              <w:t>VARCHAR(100)</w:t>
            </w:r>
          </w:p>
        </w:tc>
        <w:tc>
          <w:p w14:paraId="52C3CA11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26FA22B7">
            <w:pPr>
              <w:pStyle w:val="24"/>
              <w:jc w:val="left"/>
            </w:pPr>
            <w:r>
              <w:rPr>
                <w:rFonts w:hint="eastAsia"/>
              </w:rPr>
              <w:t>角色名称</w:t>
            </w:r>
          </w:p>
        </w:tc>
      </w:tr>
      <w:tr w14:paraId="0BB1E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CCA7D10">
            <w:pPr>
              <w:pStyle w:val="24"/>
              <w:jc w:val="left"/>
            </w:pPr>
            <w:r>
              <w:t>data_scope</w:t>
            </w:r>
          </w:p>
        </w:tc>
        <w:tc>
          <w:p w14:paraId="2754B7BD">
            <w:pPr>
              <w:pStyle w:val="24"/>
              <w:jc w:val="left"/>
            </w:pPr>
            <w:r>
              <w:t>TINYINT</w:t>
            </w:r>
          </w:p>
        </w:tc>
        <w:tc>
          <w:p w14:paraId="264974F6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6B92CBDC">
            <w:pPr>
              <w:pStyle w:val="24"/>
              <w:jc w:val="left"/>
            </w:pPr>
            <w:r>
              <w:rPr>
                <w:rFonts w:hint="eastAsia"/>
              </w:rPr>
              <w:t>数据权限范围（1-全部，2-本部门，3-本人）</w:t>
            </w:r>
          </w:p>
        </w:tc>
      </w:tr>
      <w:tr w14:paraId="0CDF9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6565020">
            <w:pPr>
              <w:pStyle w:val="24"/>
              <w:jc w:val="left"/>
            </w:pPr>
            <w:r>
              <w:t>permissions</w:t>
            </w:r>
          </w:p>
        </w:tc>
        <w:tc>
          <w:p w14:paraId="33E0103D">
            <w:pPr>
              <w:pStyle w:val="24"/>
              <w:jc w:val="left"/>
            </w:pPr>
            <w:r>
              <w:t>JSON</w:t>
            </w:r>
          </w:p>
        </w:tc>
        <w:tc>
          <w:p w14:paraId="674B90CD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10D1776C">
            <w:pPr>
              <w:pStyle w:val="24"/>
              <w:jc w:val="left"/>
            </w:pPr>
            <w:r>
              <w:rPr>
                <w:rFonts w:hint="eastAsia"/>
              </w:rPr>
              <w:t>菜单与按钮权限标识集合</w:t>
            </w:r>
          </w:p>
        </w:tc>
      </w:tr>
      <w:bookmarkEnd w:id="22"/>
    </w:tbl>
    <w:p w14:paraId="04F51A83">
      <w:pPr>
        <w:pStyle w:val="6"/>
      </w:pPr>
      <w:bookmarkStart w:id="23" w:name="系统用户表-sys_user"/>
      <w:r>
        <w:t xml:space="preserve">8. </w:t>
      </w:r>
      <w:r>
        <w:rPr>
          <w:rFonts w:hint="eastAsia"/>
        </w:rPr>
        <w:t>系统用户表</w:t>
      </w:r>
      <w:r>
        <w:t xml:space="preserve"> (</w:t>
      </w:r>
      <w:r>
        <w:rPr>
          <w:rStyle w:val="48"/>
        </w:rPr>
        <w:t>sys_user</w:t>
      </w:r>
      <w:r>
        <w:t>)</w:t>
      </w:r>
    </w:p>
    <w:p w14:paraId="681792A1">
      <w:pPr>
        <w:pStyle w:val="23"/>
      </w:pPr>
      <w:r>
        <w:rPr>
          <w:rFonts w:hint="eastAsia"/>
        </w:rPr>
        <w:t>作为全院参与后勤服务人员的唯一身份标识，无论是院内职工还是第三方外包人员，均在此表统一管理。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 w14:paraId="63677B70">
        <w:trPr>
          <w:tblHeader/>
        </w:trPr>
        <w:tc>
          <w:p w14:paraId="0B065214">
            <w:pPr>
              <w:pStyle w:val="24"/>
              <w:jc w:val="left"/>
            </w:pPr>
            <w:r>
              <w:rPr>
                <w:rFonts w:hint="eastAsia"/>
              </w:rPr>
              <w:t>字段名称</w:t>
            </w:r>
          </w:p>
        </w:tc>
        <w:tc>
          <w:p w14:paraId="0F4BAB1F">
            <w:pPr>
              <w:pStyle w:val="24"/>
              <w:jc w:val="left"/>
            </w:pPr>
            <w:r>
              <w:rPr>
                <w:rFonts w:hint="eastAsia"/>
              </w:rPr>
              <w:t>字段类型</w:t>
            </w:r>
          </w:p>
        </w:tc>
        <w:tc>
          <w:p w14:paraId="689A9E33">
            <w:pPr>
              <w:pStyle w:val="24"/>
              <w:jc w:val="left"/>
            </w:pPr>
            <w:r>
              <w:rPr>
                <w:rFonts w:hint="eastAsia"/>
              </w:rPr>
              <w:t>必填</w:t>
            </w:r>
          </w:p>
        </w:tc>
        <w:tc>
          <w:p w14:paraId="32D6E4AD">
            <w:pPr>
              <w:pStyle w:val="24"/>
              <w:jc w:val="left"/>
            </w:pPr>
            <w:r>
              <w:rPr>
                <w:rFonts w:hint="eastAsia"/>
              </w:rPr>
              <w:t>字段说明</w:t>
            </w:r>
          </w:p>
        </w:tc>
      </w:tr>
      <w:tr w14:paraId="558C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0122DA7">
            <w:pPr>
              <w:pStyle w:val="24"/>
              <w:jc w:val="left"/>
            </w:pPr>
            <w:r>
              <w:t>id</w:t>
            </w:r>
          </w:p>
        </w:tc>
        <w:tc>
          <w:p w14:paraId="65532A3A">
            <w:pPr>
              <w:pStyle w:val="24"/>
              <w:jc w:val="left"/>
            </w:pPr>
            <w:r>
              <w:t>BIGINT</w:t>
            </w:r>
          </w:p>
        </w:tc>
        <w:tc>
          <w:p w14:paraId="7209D6CC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405E386F">
            <w:pPr>
              <w:pStyle w:val="24"/>
              <w:jc w:val="left"/>
            </w:pPr>
            <w:r>
              <w:rPr>
                <w:rFonts w:hint="eastAsia"/>
              </w:rPr>
              <w:t>主键，自增</w:t>
            </w:r>
          </w:p>
        </w:tc>
      </w:tr>
      <w:tr w14:paraId="7D14C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A8DEE2F">
            <w:pPr>
              <w:pStyle w:val="24"/>
              <w:jc w:val="left"/>
            </w:pPr>
            <w:r>
              <w:t>username</w:t>
            </w:r>
          </w:p>
        </w:tc>
        <w:tc>
          <w:p w14:paraId="68293C35">
            <w:pPr>
              <w:pStyle w:val="24"/>
              <w:jc w:val="left"/>
            </w:pPr>
            <w:r>
              <w:t>VARCHAR(64)</w:t>
            </w:r>
          </w:p>
        </w:tc>
        <w:tc>
          <w:p w14:paraId="7E87D4AF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05FA9FC0">
            <w:pPr>
              <w:pStyle w:val="24"/>
              <w:jc w:val="left"/>
            </w:pPr>
            <w:r>
              <w:rPr>
                <w:rFonts w:hint="eastAsia"/>
              </w:rPr>
              <w:t>登录账号/企微UserID</w:t>
            </w:r>
          </w:p>
        </w:tc>
      </w:tr>
      <w:tr w14:paraId="5D6E7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8410FD7">
            <w:pPr>
              <w:pStyle w:val="24"/>
              <w:jc w:val="left"/>
            </w:pPr>
            <w:r>
              <w:t>real_name</w:t>
            </w:r>
          </w:p>
        </w:tc>
        <w:tc>
          <w:p w14:paraId="0BE20951">
            <w:pPr>
              <w:pStyle w:val="24"/>
              <w:jc w:val="left"/>
            </w:pPr>
            <w:r>
              <w:t>VARCHAR(64)</w:t>
            </w:r>
          </w:p>
        </w:tc>
        <w:tc>
          <w:p w14:paraId="605DA0FE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78335E62">
            <w:pPr>
              <w:pStyle w:val="24"/>
              <w:jc w:val="left"/>
            </w:pPr>
            <w:r>
              <w:rPr>
                <w:rFonts w:hint="eastAsia"/>
              </w:rPr>
              <w:t>真实姓名</w:t>
            </w:r>
          </w:p>
        </w:tc>
      </w:tr>
      <w:tr w14:paraId="3F3A0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1B4B369">
            <w:pPr>
              <w:pStyle w:val="24"/>
              <w:jc w:val="left"/>
            </w:pPr>
            <w:r>
              <w:t>dept_id</w:t>
            </w:r>
          </w:p>
        </w:tc>
        <w:tc>
          <w:p w14:paraId="7A7737D7">
            <w:pPr>
              <w:pStyle w:val="24"/>
              <w:jc w:val="left"/>
            </w:pPr>
            <w:r>
              <w:t>BIGINT</w:t>
            </w:r>
          </w:p>
        </w:tc>
        <w:tc>
          <w:p w14:paraId="1C01E81D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65F3818C">
            <w:pPr>
              <w:pStyle w:val="24"/>
              <w:jc w:val="left"/>
            </w:pPr>
            <w:r>
              <w:rPr>
                <w:rFonts w:hint="eastAsia"/>
              </w:rPr>
              <w:t>所属科室/部门ID（院内职工填对应科室）</w:t>
            </w:r>
          </w:p>
        </w:tc>
      </w:tr>
      <w:tr w14:paraId="2DA8C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EAC628C">
            <w:pPr>
              <w:pStyle w:val="24"/>
              <w:jc w:val="left"/>
            </w:pPr>
            <w:r>
              <w:t>role_id</w:t>
            </w:r>
          </w:p>
        </w:tc>
        <w:tc>
          <w:p w14:paraId="67A6A6CC">
            <w:pPr>
              <w:pStyle w:val="24"/>
              <w:jc w:val="left"/>
            </w:pPr>
            <w:r>
              <w:t>BIGINT</w:t>
            </w:r>
          </w:p>
        </w:tc>
        <w:tc>
          <w:p w14:paraId="75E39B4E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239AE283">
            <w:pPr>
              <w:pStyle w:val="24"/>
              <w:jc w:val="left"/>
            </w:pPr>
            <w:r>
              <w:rPr>
                <w:rFonts w:hint="eastAsia"/>
              </w:rPr>
              <w:t>关联角色ID（如：维修工、调度员）</w:t>
            </w:r>
          </w:p>
        </w:tc>
      </w:tr>
      <w:tr w14:paraId="298E4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DD9C800">
            <w:pPr>
              <w:pStyle w:val="24"/>
              <w:jc w:val="left"/>
            </w:pPr>
            <w:r>
              <w:t>user_type</w:t>
            </w:r>
          </w:p>
        </w:tc>
        <w:tc>
          <w:p w14:paraId="425FE046">
            <w:pPr>
              <w:pStyle w:val="24"/>
              <w:jc w:val="left"/>
            </w:pPr>
            <w:r>
              <w:t>TINYINT</w:t>
            </w:r>
          </w:p>
        </w:tc>
        <w:tc>
          <w:p w14:paraId="0094D986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7648AB9B">
            <w:pPr>
              <w:pStyle w:val="24"/>
              <w:jc w:val="left"/>
            </w:pPr>
            <w:r>
              <w:rPr>
                <w:rFonts w:hint="eastAsia"/>
              </w:rPr>
              <w:t>用户类型（1-院内职工，2-第三方服务人员）</w:t>
            </w:r>
          </w:p>
        </w:tc>
      </w:tr>
      <w:tr w14:paraId="705E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EDB7FA5">
            <w:pPr>
              <w:pStyle w:val="24"/>
              <w:jc w:val="left"/>
            </w:pPr>
            <w:r>
              <w:t>supplier_id</w:t>
            </w:r>
          </w:p>
        </w:tc>
        <w:tc>
          <w:p w14:paraId="19B79928">
            <w:pPr>
              <w:pStyle w:val="24"/>
              <w:jc w:val="left"/>
            </w:pPr>
            <w:r>
              <w:t>BIGINT</w:t>
            </w:r>
          </w:p>
        </w:tc>
        <w:tc>
          <w:p w14:paraId="0D2B1D17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22AB6D56">
            <w:pPr>
              <w:pStyle w:val="24"/>
              <w:jc w:val="left"/>
            </w:pPr>
            <w:r>
              <w:rPr>
                <w:rFonts w:hint="eastAsia"/>
              </w:rPr>
              <w:t>关联供应商/服务商ID（仅第三方人员必填，关联</w:t>
            </w:r>
            <w:r>
              <w:t xml:space="preserve"> </w:t>
            </w:r>
            <w:r>
              <w:rPr>
                <w:rStyle w:val="48"/>
              </w:rPr>
              <w:t>supplier_info</w:t>
            </w:r>
            <w:r>
              <w:t xml:space="preserve"> </w:t>
            </w:r>
            <w:r>
              <w:rPr>
                <w:rFonts w:hint="eastAsia"/>
              </w:rPr>
              <w:t>表）</w:t>
            </w:r>
          </w:p>
        </w:tc>
      </w:tr>
      <w:tr w14:paraId="4CC8A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A0B57F0">
            <w:pPr>
              <w:pStyle w:val="24"/>
              <w:jc w:val="left"/>
            </w:pPr>
            <w:r>
              <w:t>status</w:t>
            </w:r>
          </w:p>
        </w:tc>
        <w:tc>
          <w:p w14:paraId="46B740CF">
            <w:pPr>
              <w:pStyle w:val="24"/>
              <w:jc w:val="left"/>
            </w:pPr>
            <w:r>
              <w:t>TINYINT</w:t>
            </w:r>
          </w:p>
        </w:tc>
        <w:tc>
          <w:p w14:paraId="54BD4731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71BBE7CE">
            <w:pPr>
              <w:pStyle w:val="24"/>
              <w:jc w:val="left"/>
            </w:pPr>
            <w:r>
              <w:rPr>
                <w:rFonts w:hint="eastAsia"/>
              </w:rPr>
              <w:t>账号状态（0-禁用，1-正常）</w:t>
            </w:r>
          </w:p>
        </w:tc>
      </w:tr>
      <w:bookmarkEnd w:id="23"/>
    </w:tbl>
    <w:p w14:paraId="6B33BB53">
      <w:pPr>
        <w:pStyle w:val="6"/>
      </w:pPr>
      <w:bookmarkStart w:id="24" w:name="工作人员分工矩阵表-staff_work_assignment"/>
      <w:r>
        <w:t xml:space="preserve">9. </w:t>
      </w:r>
      <w:r>
        <w:rPr>
          <w:rFonts w:hint="eastAsia"/>
        </w:rPr>
        <w:t>工作人员分工矩阵表</w:t>
      </w:r>
      <w:r>
        <w:t xml:space="preserve"> (</w:t>
      </w:r>
      <w:r>
        <w:rPr>
          <w:rStyle w:val="48"/>
        </w:rPr>
        <w:t>staff_work_assignment</w:t>
      </w:r>
      <w:r>
        <w:t>)</w:t>
      </w:r>
    </w:p>
    <w:p w14:paraId="143B5938">
      <w:pPr>
        <w:pStyle w:val="23"/>
      </w:pPr>
      <w:r>
        <w:rPr>
          <w:rFonts w:hint="eastAsia"/>
        </w:rPr>
        <w:t>记录人员的职责范围、擅长领域与服务区域。由于</w:t>
      </w:r>
      <w:r>
        <w:t xml:space="preserve"> </w:t>
      </w:r>
      <w:r>
        <w:rPr>
          <w:rStyle w:val="48"/>
        </w:rPr>
        <w:t>user_id</w:t>
      </w:r>
      <w:r>
        <w:t xml:space="preserve"> </w:t>
      </w:r>
      <w:r>
        <w:rPr>
          <w:rFonts w:hint="eastAsia"/>
        </w:rPr>
        <w:t>已经包含了第三方人员，此表自然支持为第三方人员配置专属的维修技能和负责区域。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 w14:paraId="765F7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1C1C8A17">
            <w:pPr>
              <w:pStyle w:val="24"/>
              <w:jc w:val="left"/>
            </w:pPr>
            <w:r>
              <w:rPr>
                <w:rFonts w:hint="eastAsia"/>
              </w:rPr>
              <w:t>字段名称</w:t>
            </w:r>
          </w:p>
        </w:tc>
        <w:tc>
          <w:p w14:paraId="1319BEE0">
            <w:pPr>
              <w:pStyle w:val="24"/>
              <w:jc w:val="left"/>
            </w:pPr>
            <w:r>
              <w:rPr>
                <w:rFonts w:hint="eastAsia"/>
              </w:rPr>
              <w:t>字段类型</w:t>
            </w:r>
          </w:p>
        </w:tc>
        <w:tc>
          <w:p w14:paraId="626A3EAD">
            <w:pPr>
              <w:pStyle w:val="24"/>
              <w:jc w:val="left"/>
            </w:pPr>
            <w:r>
              <w:rPr>
                <w:rFonts w:hint="eastAsia"/>
              </w:rPr>
              <w:t>必填</w:t>
            </w:r>
          </w:p>
        </w:tc>
        <w:tc>
          <w:p w14:paraId="5C17DC93">
            <w:pPr>
              <w:pStyle w:val="24"/>
              <w:jc w:val="left"/>
            </w:pPr>
            <w:r>
              <w:rPr>
                <w:rFonts w:hint="eastAsia"/>
              </w:rPr>
              <w:t>字段说明</w:t>
            </w:r>
          </w:p>
        </w:tc>
      </w:tr>
      <w:tr w14:paraId="6E89A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349532A">
            <w:pPr>
              <w:pStyle w:val="24"/>
              <w:jc w:val="left"/>
            </w:pPr>
            <w:r>
              <w:t>id</w:t>
            </w:r>
          </w:p>
        </w:tc>
        <w:tc>
          <w:p w14:paraId="41FF76DD">
            <w:pPr>
              <w:pStyle w:val="24"/>
              <w:jc w:val="left"/>
            </w:pPr>
            <w:r>
              <w:t>BIGINT</w:t>
            </w:r>
          </w:p>
        </w:tc>
        <w:tc>
          <w:p w14:paraId="15C0FDEA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51243768">
            <w:pPr>
              <w:pStyle w:val="24"/>
              <w:jc w:val="left"/>
            </w:pPr>
            <w:r>
              <w:rPr>
                <w:rFonts w:hint="eastAsia"/>
              </w:rPr>
              <w:t>主键，自增</w:t>
            </w:r>
          </w:p>
        </w:tc>
      </w:tr>
      <w:tr w14:paraId="2033D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3F3D3A5">
            <w:pPr>
              <w:pStyle w:val="24"/>
              <w:jc w:val="left"/>
            </w:pPr>
            <w:r>
              <w:t>user_id</w:t>
            </w:r>
          </w:p>
        </w:tc>
        <w:tc>
          <w:p w14:paraId="46753996">
            <w:pPr>
              <w:pStyle w:val="24"/>
              <w:jc w:val="left"/>
            </w:pPr>
            <w:r>
              <w:t>BIGINT</w:t>
            </w:r>
          </w:p>
        </w:tc>
        <w:tc>
          <w:p w14:paraId="73FCCDF0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569ABB48">
            <w:pPr>
              <w:pStyle w:val="24"/>
              <w:jc w:val="left"/>
            </w:pPr>
            <w:r>
              <w:rPr>
                <w:rFonts w:hint="eastAsia"/>
              </w:rPr>
              <w:t>关联系统用户表ID（</w:t>
            </w:r>
            <w:r>
              <w:rPr>
                <w:rStyle w:val="48"/>
              </w:rPr>
              <w:t>sys_user</w:t>
            </w:r>
            <w:r>
              <w:rPr>
                <w:rFonts w:hint="eastAsia"/>
              </w:rPr>
              <w:t>，包含内部与第三方人员）</w:t>
            </w:r>
          </w:p>
        </w:tc>
      </w:tr>
      <w:tr w14:paraId="3102C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151CD67">
            <w:pPr>
              <w:pStyle w:val="24"/>
              <w:jc w:val="left"/>
            </w:pPr>
            <w:r>
              <w:t>work_category</w:t>
            </w:r>
          </w:p>
        </w:tc>
        <w:tc>
          <w:p w14:paraId="78DCA995">
            <w:pPr>
              <w:pStyle w:val="24"/>
              <w:jc w:val="left"/>
            </w:pPr>
            <w:r>
              <w:t>TINYINT</w:t>
            </w:r>
          </w:p>
        </w:tc>
        <w:tc>
          <w:p w14:paraId="04553DCA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14BC8C6E">
            <w:pPr>
              <w:pStyle w:val="24"/>
              <w:jc w:val="left"/>
            </w:pPr>
            <w:r>
              <w:rPr>
                <w:rFonts w:hint="eastAsia"/>
              </w:rPr>
              <w:t>工作大类（1-硬件维修，2-软件IT，3-后勤基建，4-设备维保）</w:t>
            </w:r>
          </w:p>
        </w:tc>
      </w:tr>
      <w:tr w14:paraId="389D7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AD970F2">
            <w:pPr>
              <w:pStyle w:val="24"/>
              <w:jc w:val="left"/>
            </w:pPr>
            <w:r>
              <w:t>work_sub_type</w:t>
            </w:r>
          </w:p>
        </w:tc>
        <w:tc>
          <w:p w14:paraId="138E71D3">
            <w:pPr>
              <w:pStyle w:val="24"/>
              <w:jc w:val="left"/>
            </w:pPr>
            <w:r>
              <w:t>VARCHAR(100)</w:t>
            </w:r>
          </w:p>
        </w:tc>
        <w:tc>
          <w:p w14:paraId="439E255E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7AC4BC6D">
            <w:pPr>
              <w:pStyle w:val="24"/>
              <w:jc w:val="left"/>
            </w:pPr>
            <w:r>
              <w:rPr>
                <w:rFonts w:hint="eastAsia"/>
              </w:rPr>
              <w:t>具体细分类型（如：强电、弱电、网络、木工、HIS系统、CT维保等）</w:t>
            </w:r>
          </w:p>
        </w:tc>
      </w:tr>
      <w:tr w14:paraId="1E877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4D28E75">
            <w:pPr>
              <w:pStyle w:val="24"/>
              <w:jc w:val="left"/>
            </w:pPr>
            <w:r>
              <w:t>service_area</w:t>
            </w:r>
          </w:p>
        </w:tc>
        <w:tc>
          <w:p w14:paraId="0AD193D1">
            <w:pPr>
              <w:pStyle w:val="24"/>
              <w:jc w:val="left"/>
            </w:pPr>
            <w:r>
              <w:t>VARCHAR(255)</w:t>
            </w:r>
          </w:p>
        </w:tc>
        <w:tc>
          <w:p w14:paraId="3B7FA44F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6D9D2F72">
            <w:pPr>
              <w:pStyle w:val="24"/>
              <w:jc w:val="left"/>
            </w:pPr>
            <w:r>
              <w:rPr>
                <w:rFonts w:hint="eastAsia"/>
              </w:rPr>
              <w:t>负责区域/楼栋（如：门诊楼、住院部1-5层）</w:t>
            </w:r>
          </w:p>
        </w:tc>
      </w:tr>
      <w:tr w14:paraId="6907E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EAFDF86">
            <w:pPr>
              <w:pStyle w:val="24"/>
              <w:jc w:val="left"/>
            </w:pPr>
            <w:r>
              <w:t>is_primary</w:t>
            </w:r>
          </w:p>
        </w:tc>
        <w:tc>
          <w:p w14:paraId="7D3F3AB2">
            <w:pPr>
              <w:pStyle w:val="24"/>
              <w:jc w:val="left"/>
            </w:pPr>
            <w:r>
              <w:t>TINYINT</w:t>
            </w:r>
          </w:p>
        </w:tc>
        <w:tc>
          <w:p w14:paraId="4DE168D4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1DD49A94">
            <w:pPr>
              <w:pStyle w:val="24"/>
              <w:jc w:val="left"/>
            </w:pPr>
            <w:r>
              <w:rPr>
                <w:rFonts w:hint="eastAsia"/>
              </w:rPr>
              <w:t>是否为主要负责人（0-协助，1-主责）</w:t>
            </w:r>
          </w:p>
        </w:tc>
      </w:tr>
      <w:bookmarkEnd w:id="24"/>
    </w:tbl>
    <w:p w14:paraId="575B7EB8">
      <w:pPr>
        <w:pStyle w:val="6"/>
      </w:pPr>
      <w:bookmarkStart w:id="25" w:name="系统字典表-sys_dict"/>
      <w:r>
        <w:t xml:space="preserve">10. </w:t>
      </w:r>
      <w:r>
        <w:rPr>
          <w:rFonts w:hint="eastAsia"/>
        </w:rPr>
        <w:t>系统字典表</w:t>
      </w:r>
      <w:r>
        <w:t xml:space="preserve"> (</w:t>
      </w:r>
      <w:r>
        <w:rPr>
          <w:rStyle w:val="48"/>
        </w:rPr>
        <w:t>sys_dict</w:t>
      </w:r>
      <w:r>
        <w:t>)</w:t>
      </w:r>
    </w:p>
    <w:p w14:paraId="2A1F7198">
      <w:pPr>
        <w:pStyle w:val="23"/>
      </w:pPr>
      <w:r>
        <w:rPr>
          <w:rFonts w:hint="eastAsia"/>
        </w:rPr>
        <w:t>实现系统数据的标准化与动态配置，避免硬编码。通过</w:t>
      </w:r>
      <w:r>
        <w:t xml:space="preserve"> </w:t>
      </w:r>
      <w:r>
        <w:rPr>
          <w:rStyle w:val="48"/>
        </w:rPr>
        <w:t>dict_type</w:t>
      </w:r>
      <w:r>
        <w:t xml:space="preserve"> </w:t>
      </w:r>
      <w:r>
        <w:rPr>
          <w:rFonts w:hint="eastAsia"/>
        </w:rPr>
        <w:t>区分不同的字典集，方便后续无限扩展。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 w14:paraId="30E7D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4CDA3312">
            <w:pPr>
              <w:pStyle w:val="24"/>
              <w:jc w:val="left"/>
            </w:pPr>
            <w:r>
              <w:rPr>
                <w:rFonts w:hint="eastAsia"/>
              </w:rPr>
              <w:t>字段名称</w:t>
            </w:r>
          </w:p>
        </w:tc>
        <w:tc>
          <w:p w14:paraId="65CDAD54">
            <w:pPr>
              <w:pStyle w:val="24"/>
              <w:jc w:val="left"/>
            </w:pPr>
            <w:r>
              <w:rPr>
                <w:rFonts w:hint="eastAsia"/>
              </w:rPr>
              <w:t>字段类型</w:t>
            </w:r>
          </w:p>
        </w:tc>
        <w:tc>
          <w:p w14:paraId="3442C81D">
            <w:pPr>
              <w:pStyle w:val="24"/>
              <w:jc w:val="left"/>
            </w:pPr>
            <w:r>
              <w:rPr>
                <w:rFonts w:hint="eastAsia"/>
              </w:rPr>
              <w:t>必填</w:t>
            </w:r>
          </w:p>
        </w:tc>
        <w:tc>
          <w:p w14:paraId="27AC493F">
            <w:pPr>
              <w:pStyle w:val="24"/>
              <w:jc w:val="left"/>
            </w:pPr>
            <w:r>
              <w:rPr>
                <w:rFonts w:hint="eastAsia"/>
              </w:rPr>
              <w:t>字段说明</w:t>
            </w:r>
          </w:p>
        </w:tc>
      </w:tr>
      <w:tr w14:paraId="44122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A2D6FA5">
            <w:pPr>
              <w:pStyle w:val="24"/>
              <w:jc w:val="left"/>
            </w:pPr>
            <w:r>
              <w:t>id</w:t>
            </w:r>
          </w:p>
        </w:tc>
        <w:tc>
          <w:p w14:paraId="4B01466B">
            <w:pPr>
              <w:pStyle w:val="24"/>
              <w:jc w:val="left"/>
            </w:pPr>
            <w:r>
              <w:t>BIGINT</w:t>
            </w:r>
          </w:p>
        </w:tc>
        <w:tc>
          <w:p w14:paraId="351F1FA6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3EF64112">
            <w:pPr>
              <w:pStyle w:val="24"/>
              <w:jc w:val="left"/>
            </w:pPr>
            <w:r>
              <w:rPr>
                <w:rFonts w:hint="eastAsia"/>
              </w:rPr>
              <w:t>主键，自增</w:t>
            </w:r>
          </w:p>
        </w:tc>
      </w:tr>
      <w:tr w14:paraId="22B90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A69317F">
            <w:pPr>
              <w:pStyle w:val="24"/>
              <w:jc w:val="left"/>
            </w:pPr>
            <w:r>
              <w:t>dict_type</w:t>
            </w:r>
          </w:p>
        </w:tc>
        <w:tc>
          <w:p w14:paraId="64AF3C35">
            <w:pPr>
              <w:pStyle w:val="24"/>
              <w:jc w:val="left"/>
            </w:pPr>
            <w:r>
              <w:t>VARCHAR(50)</w:t>
            </w:r>
          </w:p>
        </w:tc>
        <w:tc>
          <w:p w14:paraId="1CF27FAB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4A419289">
            <w:pPr>
              <w:pStyle w:val="24"/>
              <w:jc w:val="left"/>
            </w:pPr>
            <w:r>
              <w:rPr>
                <w:rFonts w:hint="eastAsia"/>
              </w:rPr>
              <w:t>字典类型（如：location_dict,</w:t>
            </w:r>
            <w:r>
              <w:t xml:space="preserve"> material_dict, </w:t>
            </w:r>
            <w:r>
              <w:rPr>
                <w:rFonts w:hint="eastAsia"/>
              </w:rPr>
              <w:t>order_status）</w:t>
            </w:r>
          </w:p>
        </w:tc>
      </w:tr>
      <w:tr w14:paraId="5E44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C1ACA9A">
            <w:pPr>
              <w:pStyle w:val="24"/>
              <w:jc w:val="left"/>
            </w:pPr>
            <w:r>
              <w:t>dict_code</w:t>
            </w:r>
          </w:p>
        </w:tc>
        <w:tc>
          <w:p w14:paraId="34EB2380">
            <w:pPr>
              <w:pStyle w:val="24"/>
              <w:jc w:val="left"/>
            </w:pPr>
            <w:r>
              <w:t>VARCHAR(50)</w:t>
            </w:r>
          </w:p>
        </w:tc>
        <w:tc>
          <w:p w14:paraId="3A3FB72A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42A51A25">
            <w:pPr>
              <w:pStyle w:val="24"/>
              <w:jc w:val="left"/>
            </w:pPr>
            <w:r>
              <w:rPr>
                <w:rFonts w:hint="eastAsia"/>
              </w:rPr>
              <w:t>字典项编码（如：LOC-001,</w:t>
            </w:r>
            <w:r>
              <w:t xml:space="preserve"> </w:t>
            </w:r>
            <w:r>
              <w:rPr>
                <w:rFonts w:hint="eastAsia"/>
              </w:rPr>
              <w:t>STS-01）</w:t>
            </w:r>
          </w:p>
        </w:tc>
      </w:tr>
      <w:tr w14:paraId="1C010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84E29DB">
            <w:pPr>
              <w:pStyle w:val="24"/>
              <w:jc w:val="left"/>
            </w:pPr>
            <w:r>
              <w:t>dict_label</w:t>
            </w:r>
          </w:p>
        </w:tc>
        <w:tc>
          <w:p w14:paraId="5B6F556C">
            <w:pPr>
              <w:pStyle w:val="24"/>
              <w:jc w:val="left"/>
            </w:pPr>
            <w:r>
              <w:t>VARCHAR(100)</w:t>
            </w:r>
          </w:p>
        </w:tc>
        <w:tc>
          <w:p w14:paraId="56BA514D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77240835">
            <w:pPr>
              <w:pStyle w:val="24"/>
              <w:jc w:val="left"/>
            </w:pPr>
            <w:r>
              <w:rPr>
                <w:rFonts w:hint="eastAsia"/>
              </w:rPr>
              <w:t>字典项显示名称（如：门诊楼3层，待派单）</w:t>
            </w:r>
          </w:p>
        </w:tc>
      </w:tr>
      <w:tr w14:paraId="441A2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98C5E36">
            <w:pPr>
              <w:pStyle w:val="24"/>
              <w:jc w:val="left"/>
            </w:pPr>
            <w:r>
              <w:t>dict_value</w:t>
            </w:r>
          </w:p>
        </w:tc>
        <w:tc>
          <w:p w14:paraId="3A133399">
            <w:pPr>
              <w:pStyle w:val="24"/>
              <w:jc w:val="left"/>
            </w:pPr>
            <w:r>
              <w:t>VARCHAR(100)</w:t>
            </w:r>
          </w:p>
        </w:tc>
        <w:tc>
          <w:p w14:paraId="1CF98EE0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622AFB9E">
            <w:pPr>
              <w:pStyle w:val="24"/>
              <w:jc w:val="left"/>
            </w:pPr>
            <w:r>
              <w:rPr>
                <w:rFonts w:hint="eastAsia"/>
              </w:rPr>
              <w:t>字典项实际存储值</w:t>
            </w:r>
          </w:p>
        </w:tc>
      </w:tr>
      <w:tr w14:paraId="020BF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540D311">
            <w:pPr>
              <w:pStyle w:val="24"/>
              <w:jc w:val="left"/>
            </w:pPr>
            <w:r>
              <w:t>sort_order</w:t>
            </w:r>
          </w:p>
        </w:tc>
        <w:tc>
          <w:p w14:paraId="03449B15">
            <w:pPr>
              <w:pStyle w:val="24"/>
              <w:jc w:val="left"/>
            </w:pPr>
            <w:r>
              <w:t>INT</w:t>
            </w:r>
          </w:p>
        </w:tc>
        <w:tc>
          <w:p w14:paraId="0E4F9431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04176AC0">
            <w:pPr>
              <w:pStyle w:val="24"/>
              <w:jc w:val="left"/>
            </w:pPr>
            <w:r>
              <w:rPr>
                <w:rFonts w:hint="eastAsia"/>
              </w:rPr>
              <w:t>排序号</w:t>
            </w:r>
          </w:p>
        </w:tc>
      </w:tr>
      <w:bookmarkEnd w:id="25"/>
    </w:tbl>
    <w:p w14:paraId="1AE9274A">
      <w:pPr>
        <w:pStyle w:val="6"/>
      </w:pPr>
      <w:bookmarkStart w:id="26" w:name="供应商服务商登记表-supplier_info"/>
      <w:r>
        <w:t xml:space="preserve">11. </w:t>
      </w:r>
      <w:r>
        <w:rPr>
          <w:rFonts w:hint="eastAsia"/>
        </w:rPr>
        <w:t>供应商/服务商登记表</w:t>
      </w:r>
      <w:r>
        <w:t xml:space="preserve"> (</w:t>
      </w:r>
      <w:r>
        <w:rPr>
          <w:rStyle w:val="48"/>
        </w:rPr>
        <w:t>supplier_info</w:t>
      </w:r>
      <w:r>
        <w:t>)</w:t>
      </w:r>
    </w:p>
    <w:p w14:paraId="76D83548">
      <w:pPr>
        <w:pStyle w:val="23"/>
      </w:pPr>
      <w:r>
        <w:rPr>
          <w:rFonts w:hint="eastAsia"/>
        </w:rPr>
        <w:t>统一管理医院合作的物资供应商与第三方维修服务商，支撑采购计划与第三方工单结算。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 w14:paraId="72B44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4FC03C83">
            <w:pPr>
              <w:pStyle w:val="24"/>
              <w:jc w:val="left"/>
            </w:pPr>
            <w:r>
              <w:rPr>
                <w:rFonts w:hint="eastAsia"/>
              </w:rPr>
              <w:t>字段名称</w:t>
            </w:r>
          </w:p>
        </w:tc>
        <w:tc>
          <w:p w14:paraId="0046C0D2">
            <w:pPr>
              <w:pStyle w:val="24"/>
              <w:jc w:val="left"/>
            </w:pPr>
            <w:r>
              <w:rPr>
                <w:rFonts w:hint="eastAsia"/>
              </w:rPr>
              <w:t>字段类型</w:t>
            </w:r>
          </w:p>
        </w:tc>
        <w:tc>
          <w:p w14:paraId="240DAE22">
            <w:pPr>
              <w:pStyle w:val="24"/>
              <w:jc w:val="left"/>
            </w:pPr>
            <w:r>
              <w:rPr>
                <w:rFonts w:hint="eastAsia"/>
              </w:rPr>
              <w:t>必填</w:t>
            </w:r>
          </w:p>
        </w:tc>
        <w:tc>
          <w:p w14:paraId="787DDCAD">
            <w:pPr>
              <w:pStyle w:val="24"/>
              <w:jc w:val="left"/>
            </w:pPr>
            <w:r>
              <w:rPr>
                <w:rFonts w:hint="eastAsia"/>
              </w:rPr>
              <w:t>字段说明</w:t>
            </w:r>
          </w:p>
        </w:tc>
      </w:tr>
      <w:tr w14:paraId="634EA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78EF6FE">
            <w:pPr>
              <w:pStyle w:val="24"/>
              <w:jc w:val="left"/>
            </w:pPr>
            <w:r>
              <w:t>id</w:t>
            </w:r>
          </w:p>
        </w:tc>
        <w:tc>
          <w:p w14:paraId="3BBD362B">
            <w:pPr>
              <w:pStyle w:val="24"/>
              <w:jc w:val="left"/>
            </w:pPr>
            <w:r>
              <w:t>BIGINT</w:t>
            </w:r>
          </w:p>
        </w:tc>
        <w:tc>
          <w:p w14:paraId="74CDE8BD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078C9845">
            <w:pPr>
              <w:pStyle w:val="24"/>
              <w:jc w:val="left"/>
            </w:pPr>
            <w:r>
              <w:rPr>
                <w:rFonts w:hint="eastAsia"/>
              </w:rPr>
              <w:t>主键，自增</w:t>
            </w:r>
          </w:p>
        </w:tc>
      </w:tr>
      <w:tr w14:paraId="10F10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DDB3330">
            <w:pPr>
              <w:pStyle w:val="24"/>
              <w:jc w:val="left"/>
            </w:pPr>
            <w:r>
              <w:t>supplier_name</w:t>
            </w:r>
          </w:p>
        </w:tc>
        <w:tc>
          <w:p w14:paraId="164DA7F9">
            <w:pPr>
              <w:pStyle w:val="24"/>
              <w:jc w:val="left"/>
            </w:pPr>
            <w:r>
              <w:t>VARCHAR(255)</w:t>
            </w:r>
          </w:p>
        </w:tc>
        <w:tc>
          <w:p w14:paraId="06C8AB33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656E9785">
            <w:pPr>
              <w:pStyle w:val="24"/>
              <w:jc w:val="left"/>
            </w:pPr>
            <w:r>
              <w:rPr>
                <w:rFonts w:hint="eastAsia"/>
              </w:rPr>
              <w:t>供应商/服务商全称</w:t>
            </w:r>
          </w:p>
        </w:tc>
      </w:tr>
      <w:tr w14:paraId="1E786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40AFAD7">
            <w:pPr>
              <w:pStyle w:val="24"/>
              <w:jc w:val="left"/>
            </w:pPr>
            <w:r>
              <w:t>supplier_type</w:t>
            </w:r>
          </w:p>
        </w:tc>
        <w:tc>
          <w:p w14:paraId="1A4737CB">
            <w:pPr>
              <w:pStyle w:val="24"/>
              <w:jc w:val="left"/>
            </w:pPr>
            <w:r>
              <w:t>TINYINT</w:t>
            </w:r>
          </w:p>
        </w:tc>
        <w:tc>
          <w:p w14:paraId="36D3B781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2377C636">
            <w:pPr>
              <w:pStyle w:val="24"/>
              <w:jc w:val="left"/>
            </w:pPr>
            <w:r>
              <w:rPr>
                <w:rFonts w:hint="eastAsia"/>
              </w:rPr>
              <w:t>类型（1-物资供应商，2-第三方维修服务商）</w:t>
            </w:r>
          </w:p>
        </w:tc>
      </w:tr>
      <w:tr w14:paraId="45936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7CACAA5">
            <w:pPr>
              <w:pStyle w:val="24"/>
              <w:jc w:val="left"/>
            </w:pPr>
            <w:r>
              <w:t>contact_person</w:t>
            </w:r>
          </w:p>
        </w:tc>
        <w:tc>
          <w:p w14:paraId="7489DE4D">
            <w:pPr>
              <w:pStyle w:val="24"/>
              <w:jc w:val="left"/>
            </w:pPr>
            <w:r>
              <w:t>VARCHAR(64)</w:t>
            </w:r>
          </w:p>
        </w:tc>
        <w:tc>
          <w:p w14:paraId="51E0BEF2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37704F37">
            <w:pPr>
              <w:pStyle w:val="24"/>
              <w:jc w:val="left"/>
            </w:pPr>
            <w:r>
              <w:rPr>
                <w:rFonts w:hint="eastAsia"/>
              </w:rPr>
              <w:t>联系人姓名</w:t>
            </w:r>
          </w:p>
        </w:tc>
      </w:tr>
      <w:tr w14:paraId="4AF54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51823AA">
            <w:pPr>
              <w:pStyle w:val="24"/>
              <w:jc w:val="left"/>
            </w:pPr>
            <w:r>
              <w:t>contact_phone</w:t>
            </w:r>
          </w:p>
        </w:tc>
        <w:tc>
          <w:p w14:paraId="5D15BA28">
            <w:pPr>
              <w:pStyle w:val="24"/>
              <w:jc w:val="left"/>
            </w:pPr>
            <w:r>
              <w:t>VARCHAR(20)</w:t>
            </w:r>
          </w:p>
        </w:tc>
        <w:tc>
          <w:p w14:paraId="1C2FAAC4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0BF6D9C9">
            <w:pPr>
              <w:pStyle w:val="24"/>
              <w:jc w:val="left"/>
            </w:pPr>
            <w:r>
              <w:rPr>
                <w:rFonts w:hint="eastAsia"/>
              </w:rPr>
              <w:t>联系电话</w:t>
            </w:r>
          </w:p>
        </w:tc>
      </w:tr>
      <w:tr w14:paraId="0026D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F6532E3">
            <w:pPr>
              <w:pStyle w:val="24"/>
              <w:jc w:val="left"/>
            </w:pPr>
            <w:r>
              <w:t>service_scope</w:t>
            </w:r>
          </w:p>
        </w:tc>
        <w:tc>
          <w:p w14:paraId="7671A545">
            <w:pPr>
              <w:pStyle w:val="24"/>
              <w:jc w:val="left"/>
            </w:pPr>
            <w:r>
              <w:t>VARCHAR(255)</w:t>
            </w:r>
          </w:p>
        </w:tc>
        <w:tc>
          <w:p w14:paraId="7C3A3F73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0F9F3141">
            <w:pPr>
              <w:pStyle w:val="24"/>
              <w:jc w:val="left"/>
            </w:pPr>
            <w:r>
              <w:rPr>
                <w:rFonts w:hint="eastAsia"/>
              </w:rPr>
              <w:t>服务范围或主营物资类别</w:t>
            </w:r>
          </w:p>
        </w:tc>
      </w:tr>
      <w:tr w14:paraId="4929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25ACFA0">
            <w:pPr>
              <w:pStyle w:val="24"/>
              <w:jc w:val="left"/>
            </w:pPr>
            <w:r>
              <w:t>contract_expire_date</w:t>
            </w:r>
          </w:p>
        </w:tc>
        <w:tc>
          <w:p w14:paraId="277A0870">
            <w:pPr>
              <w:pStyle w:val="24"/>
              <w:jc w:val="left"/>
            </w:pPr>
            <w:r>
              <w:t>DATE</w:t>
            </w:r>
          </w:p>
        </w:tc>
        <w:tc>
          <w:p w14:paraId="427C3821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00843DC6">
            <w:pPr>
              <w:pStyle w:val="24"/>
              <w:jc w:val="left"/>
            </w:pPr>
            <w:r>
              <w:rPr>
                <w:rFonts w:hint="eastAsia"/>
              </w:rPr>
              <w:t>合作协议到期日</w:t>
            </w:r>
          </w:p>
        </w:tc>
      </w:tr>
      <w:bookmarkEnd w:id="26"/>
    </w:tbl>
    <w:p w14:paraId="7258726D">
      <w:pPr>
        <w:pStyle w:val="6"/>
      </w:pPr>
      <w:bookmarkStart w:id="27" w:name="后勤工作计划表-work_plan"/>
      <w:r>
        <w:t xml:space="preserve">12. </w:t>
      </w:r>
      <w:r>
        <w:rPr>
          <w:rFonts w:hint="eastAsia"/>
        </w:rPr>
        <w:t>后勤工作计划表</w:t>
      </w:r>
      <w:r>
        <w:t xml:space="preserve"> (</w:t>
      </w:r>
      <w:r>
        <w:rPr>
          <w:rStyle w:val="48"/>
        </w:rPr>
        <w:t>work_plan</w:t>
      </w:r>
      <w:r>
        <w:t>)</w:t>
      </w:r>
    </w:p>
    <w:p w14:paraId="2C557C06">
      <w:pPr>
        <w:pStyle w:val="23"/>
      </w:pPr>
      <w:r>
        <w:rPr>
          <w:rFonts w:hint="eastAsia"/>
        </w:rPr>
        <w:t>记录后勤部门的月度、年度工作计划（如预防性保养、外包跟进），支撑年终工作量统计与绩效评估。</w:t>
      </w:r>
    </w:p>
    <w:tbl>
      <w:tblPr>
        <w:tblStyle w:val="4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 w14:paraId="0A84F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4F01650B">
            <w:pPr>
              <w:pStyle w:val="24"/>
              <w:jc w:val="left"/>
            </w:pPr>
            <w:r>
              <w:rPr>
                <w:rFonts w:hint="eastAsia"/>
              </w:rPr>
              <w:t>字段名称</w:t>
            </w:r>
          </w:p>
        </w:tc>
        <w:tc>
          <w:p w14:paraId="5E88CE67">
            <w:pPr>
              <w:pStyle w:val="24"/>
              <w:jc w:val="left"/>
            </w:pPr>
            <w:r>
              <w:rPr>
                <w:rFonts w:hint="eastAsia"/>
              </w:rPr>
              <w:t>字段类型</w:t>
            </w:r>
          </w:p>
        </w:tc>
        <w:tc>
          <w:p w14:paraId="7CABA3BD">
            <w:pPr>
              <w:pStyle w:val="24"/>
              <w:jc w:val="left"/>
            </w:pPr>
            <w:r>
              <w:rPr>
                <w:rFonts w:hint="eastAsia"/>
              </w:rPr>
              <w:t>必填</w:t>
            </w:r>
          </w:p>
        </w:tc>
        <w:tc>
          <w:p w14:paraId="67D07433">
            <w:pPr>
              <w:pStyle w:val="24"/>
              <w:jc w:val="left"/>
            </w:pPr>
            <w:r>
              <w:rPr>
                <w:rFonts w:hint="eastAsia"/>
              </w:rPr>
              <w:t>字段说明</w:t>
            </w:r>
          </w:p>
        </w:tc>
      </w:tr>
      <w:tr w14:paraId="6BC92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91C5D8F">
            <w:pPr>
              <w:pStyle w:val="24"/>
              <w:jc w:val="left"/>
            </w:pPr>
            <w:r>
              <w:t>id</w:t>
            </w:r>
          </w:p>
        </w:tc>
        <w:tc>
          <w:p w14:paraId="0E8031CE">
            <w:pPr>
              <w:pStyle w:val="24"/>
              <w:jc w:val="left"/>
            </w:pPr>
            <w:r>
              <w:t>BIGINT</w:t>
            </w:r>
          </w:p>
        </w:tc>
        <w:tc>
          <w:p w14:paraId="6B03FC51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0E0A4295">
            <w:pPr>
              <w:pStyle w:val="24"/>
              <w:jc w:val="left"/>
            </w:pPr>
            <w:r>
              <w:rPr>
                <w:rFonts w:hint="eastAsia"/>
              </w:rPr>
              <w:t>主键，自增</w:t>
            </w:r>
          </w:p>
        </w:tc>
      </w:tr>
      <w:tr w14:paraId="4C232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289F64C">
            <w:pPr>
              <w:pStyle w:val="24"/>
              <w:jc w:val="left"/>
            </w:pPr>
            <w:r>
              <w:t>plan_name</w:t>
            </w:r>
          </w:p>
        </w:tc>
        <w:tc>
          <w:p w14:paraId="4B98C667">
            <w:pPr>
              <w:pStyle w:val="24"/>
              <w:jc w:val="left"/>
            </w:pPr>
            <w:r>
              <w:t>VARCHAR(255)</w:t>
            </w:r>
          </w:p>
        </w:tc>
        <w:tc>
          <w:p w14:paraId="6F92F428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4B93B54C">
            <w:pPr>
              <w:pStyle w:val="24"/>
              <w:jc w:val="left"/>
            </w:pPr>
            <w:r>
              <w:rPr>
                <w:rFonts w:hint="eastAsia"/>
              </w:rPr>
              <w:t>计划名称（如：2026年Q3空调系统预防性保养）</w:t>
            </w:r>
          </w:p>
        </w:tc>
      </w:tr>
      <w:tr w14:paraId="4CC68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6225D76">
            <w:pPr>
              <w:pStyle w:val="24"/>
              <w:jc w:val="left"/>
            </w:pPr>
            <w:r>
              <w:t>plan_type</w:t>
            </w:r>
          </w:p>
        </w:tc>
        <w:tc>
          <w:p w14:paraId="261E9E86">
            <w:pPr>
              <w:pStyle w:val="24"/>
              <w:jc w:val="left"/>
            </w:pPr>
            <w:r>
              <w:t>TINYINT</w:t>
            </w:r>
          </w:p>
        </w:tc>
        <w:tc>
          <w:p w14:paraId="2E825DA3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776E642E">
            <w:pPr>
              <w:pStyle w:val="24"/>
              <w:jc w:val="left"/>
            </w:pPr>
            <w:r>
              <w:rPr>
                <w:rFonts w:hint="eastAsia"/>
              </w:rPr>
              <w:t>计划周期（1-月度计划，2-年度计划）</w:t>
            </w:r>
          </w:p>
        </w:tc>
      </w:tr>
      <w:tr w14:paraId="100EF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30CF0F5">
            <w:pPr>
              <w:pStyle w:val="24"/>
              <w:jc w:val="left"/>
            </w:pPr>
            <w:r>
              <w:t>plan_content</w:t>
            </w:r>
          </w:p>
        </w:tc>
        <w:tc>
          <w:p w14:paraId="5B4F3B4A">
            <w:pPr>
              <w:pStyle w:val="24"/>
              <w:jc w:val="left"/>
            </w:pPr>
            <w:r>
              <w:t>TEXT</w:t>
            </w:r>
          </w:p>
        </w:tc>
        <w:tc>
          <w:p w14:paraId="5E3F4312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36DC2A1D">
            <w:pPr>
              <w:pStyle w:val="24"/>
              <w:jc w:val="left"/>
            </w:pPr>
            <w:r>
              <w:rPr>
                <w:rFonts w:hint="eastAsia"/>
              </w:rPr>
              <w:t>计划详细描述与目标</w:t>
            </w:r>
          </w:p>
        </w:tc>
      </w:tr>
      <w:tr w14:paraId="1BF44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DEF802C">
            <w:pPr>
              <w:pStyle w:val="24"/>
              <w:jc w:val="left"/>
            </w:pPr>
            <w:r>
              <w:t>dept_id</w:t>
            </w:r>
          </w:p>
        </w:tc>
        <w:tc>
          <w:p w14:paraId="7E8EFD77">
            <w:pPr>
              <w:pStyle w:val="24"/>
              <w:jc w:val="left"/>
            </w:pPr>
            <w:r>
              <w:t>BIGINT</w:t>
            </w:r>
          </w:p>
        </w:tc>
        <w:tc>
          <w:p w14:paraId="5342B922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013412AE">
            <w:pPr>
              <w:pStyle w:val="24"/>
              <w:jc w:val="left"/>
            </w:pPr>
            <w:r>
              <w:rPr>
                <w:rFonts w:hint="eastAsia"/>
              </w:rPr>
              <w:t>归属后勤科室ID</w:t>
            </w:r>
          </w:p>
        </w:tc>
      </w:tr>
      <w:tr w14:paraId="005F0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3EEB919">
            <w:pPr>
              <w:pStyle w:val="24"/>
              <w:jc w:val="left"/>
            </w:pPr>
            <w:r>
              <w:t>start_date</w:t>
            </w:r>
          </w:p>
        </w:tc>
        <w:tc>
          <w:p w14:paraId="40812FB5">
            <w:pPr>
              <w:pStyle w:val="24"/>
              <w:jc w:val="left"/>
            </w:pPr>
            <w:r>
              <w:t>DATE</w:t>
            </w:r>
          </w:p>
        </w:tc>
        <w:tc>
          <w:p w14:paraId="51A4BAF9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3EFD22E4">
            <w:pPr>
              <w:pStyle w:val="24"/>
              <w:jc w:val="left"/>
            </w:pPr>
            <w:r>
              <w:rPr>
                <w:rFonts w:hint="eastAsia"/>
              </w:rPr>
              <w:t>计划开始日期</w:t>
            </w:r>
          </w:p>
        </w:tc>
      </w:tr>
      <w:tr w14:paraId="68F1D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69CBBEE">
            <w:pPr>
              <w:pStyle w:val="24"/>
              <w:jc w:val="left"/>
            </w:pPr>
            <w:r>
              <w:t>end_date</w:t>
            </w:r>
          </w:p>
        </w:tc>
        <w:tc>
          <w:p w14:paraId="665C2EAC">
            <w:pPr>
              <w:pStyle w:val="24"/>
              <w:jc w:val="left"/>
            </w:pPr>
            <w:r>
              <w:t>DATE</w:t>
            </w:r>
          </w:p>
        </w:tc>
        <w:tc>
          <w:p w14:paraId="3E7D1625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68C04644">
            <w:pPr>
              <w:pStyle w:val="24"/>
              <w:jc w:val="left"/>
            </w:pPr>
            <w:r>
              <w:rPr>
                <w:rFonts w:hint="eastAsia"/>
              </w:rPr>
              <w:t>计划截止日期</w:t>
            </w:r>
          </w:p>
        </w:tc>
      </w:tr>
      <w:tr w14:paraId="77E77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C7931F9">
            <w:pPr>
              <w:pStyle w:val="24"/>
              <w:jc w:val="left"/>
            </w:pPr>
            <w:r>
              <w:t>status</w:t>
            </w:r>
          </w:p>
        </w:tc>
        <w:tc>
          <w:p w14:paraId="45EB7C2B">
            <w:pPr>
              <w:pStyle w:val="24"/>
              <w:jc w:val="left"/>
            </w:pPr>
            <w:r>
              <w:t>TINYINT</w:t>
            </w:r>
          </w:p>
        </w:tc>
        <w:tc>
          <w:p w14:paraId="16EC7539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2255CCFC">
            <w:pPr>
              <w:pStyle w:val="24"/>
              <w:jc w:val="left"/>
            </w:pPr>
            <w:r>
              <w:rPr>
                <w:rFonts w:hint="eastAsia"/>
              </w:rPr>
              <w:t>执行状态（0-未开始，1-进行中，2-已完成）</w:t>
            </w:r>
          </w:p>
        </w:tc>
      </w:tr>
      <w:bookmarkEnd w:id="27"/>
    </w:tbl>
    <w:p w14:paraId="5E4D9226">
      <w:pPr>
        <w:pStyle w:val="6"/>
      </w:pPr>
      <w:bookmarkStart w:id="28" w:name="采购计划表-purchase_plan"/>
      <w:r>
        <w:t xml:space="preserve">13. </w:t>
      </w:r>
      <w:r>
        <w:rPr>
          <w:rFonts w:hint="eastAsia"/>
        </w:rPr>
        <w:t>采购计划表</w:t>
      </w:r>
      <w:r>
        <w:t xml:space="preserve"> (</w:t>
      </w:r>
      <w:r>
        <w:rPr>
          <w:rStyle w:val="48"/>
        </w:rPr>
        <w:t>purchase_plan</w:t>
      </w:r>
      <w:r>
        <w:t>)</w:t>
      </w:r>
    </w:p>
    <w:p w14:paraId="5CDF12E7">
      <w:pPr>
        <w:pStyle w:val="23"/>
      </w:pPr>
      <w:r>
        <w:rPr>
          <w:rFonts w:hint="eastAsia"/>
        </w:rPr>
        <w:t>承接科室提报的设备、配件、软件及外包服务采购需求，联动预算校验与后续采购流程。</w:t>
      </w:r>
    </w:p>
    <w:tbl>
      <w:tblPr>
        <w:tblStyle w:val="4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814"/>
        <w:gridCol w:w="652"/>
        <w:gridCol w:w="4264"/>
      </w:tblGrid>
      <w:tr w14:paraId="04ADF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p w14:paraId="33550A85">
            <w:pPr>
              <w:pStyle w:val="24"/>
              <w:jc w:val="left"/>
            </w:pPr>
            <w:r>
              <w:rPr>
                <w:rFonts w:hint="eastAsia"/>
              </w:rPr>
              <w:t>字段名称</w:t>
            </w:r>
          </w:p>
        </w:tc>
        <w:tc>
          <w:p w14:paraId="713EEB40">
            <w:pPr>
              <w:pStyle w:val="24"/>
              <w:jc w:val="left"/>
            </w:pPr>
            <w:r>
              <w:rPr>
                <w:rFonts w:hint="eastAsia"/>
              </w:rPr>
              <w:t>字段类型</w:t>
            </w:r>
          </w:p>
        </w:tc>
        <w:tc>
          <w:p w14:paraId="481096DB">
            <w:pPr>
              <w:pStyle w:val="24"/>
              <w:jc w:val="left"/>
            </w:pPr>
            <w:r>
              <w:rPr>
                <w:rFonts w:hint="eastAsia"/>
              </w:rPr>
              <w:t>必填</w:t>
            </w:r>
          </w:p>
        </w:tc>
        <w:tc>
          <w:p w14:paraId="5AD34321">
            <w:pPr>
              <w:pStyle w:val="24"/>
              <w:jc w:val="left"/>
            </w:pPr>
            <w:r>
              <w:rPr>
                <w:rFonts w:hint="eastAsia"/>
              </w:rPr>
              <w:t>字段说明</w:t>
            </w:r>
          </w:p>
        </w:tc>
      </w:tr>
      <w:tr w14:paraId="3184B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104ED316">
            <w:pPr>
              <w:pStyle w:val="24"/>
              <w:jc w:val="left"/>
            </w:pPr>
            <w:r>
              <w:t>id</w:t>
            </w:r>
          </w:p>
        </w:tc>
        <w:tc>
          <w:p w14:paraId="15E45010">
            <w:pPr>
              <w:pStyle w:val="24"/>
              <w:jc w:val="left"/>
            </w:pPr>
            <w:r>
              <w:t>BIGINT</w:t>
            </w:r>
          </w:p>
        </w:tc>
        <w:tc>
          <w:p w14:paraId="7119A019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1221F953">
            <w:pPr>
              <w:pStyle w:val="24"/>
              <w:jc w:val="left"/>
            </w:pPr>
            <w:r>
              <w:rPr>
                <w:rFonts w:hint="eastAsia"/>
              </w:rPr>
              <w:t>主键，自增</w:t>
            </w:r>
          </w:p>
        </w:tc>
      </w:tr>
      <w:tr w14:paraId="5EC33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5886B31">
            <w:pPr>
              <w:pStyle w:val="24"/>
              <w:jc w:val="left"/>
            </w:pPr>
            <w:r>
              <w:t>plan_no</w:t>
            </w:r>
          </w:p>
        </w:tc>
        <w:tc>
          <w:p w14:paraId="7C1BFA5A">
            <w:pPr>
              <w:pStyle w:val="24"/>
              <w:jc w:val="left"/>
            </w:pPr>
            <w:r>
              <w:t>VARCHAR(32)</w:t>
            </w:r>
          </w:p>
        </w:tc>
        <w:tc>
          <w:p w14:paraId="5B8EC042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47599DDF">
            <w:pPr>
              <w:pStyle w:val="24"/>
              <w:jc w:val="left"/>
            </w:pPr>
            <w:r>
              <w:rPr>
                <w:rFonts w:hint="eastAsia"/>
              </w:rPr>
              <w:t>采购计划流水号</w:t>
            </w:r>
          </w:p>
        </w:tc>
      </w:tr>
      <w:tr w14:paraId="2A725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A46FBC3">
            <w:pPr>
              <w:pStyle w:val="24"/>
              <w:jc w:val="left"/>
            </w:pPr>
            <w:r>
              <w:t>apply_dept_id</w:t>
            </w:r>
          </w:p>
        </w:tc>
        <w:tc>
          <w:p w14:paraId="3B5E7E16">
            <w:pPr>
              <w:pStyle w:val="24"/>
              <w:jc w:val="left"/>
            </w:pPr>
            <w:r>
              <w:t>BIGINT</w:t>
            </w:r>
          </w:p>
        </w:tc>
        <w:tc>
          <w:p w14:paraId="34975AF7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38C08322">
            <w:pPr>
              <w:pStyle w:val="24"/>
              <w:jc w:val="left"/>
            </w:pPr>
            <w:r>
              <w:rPr>
                <w:rFonts w:hint="eastAsia"/>
              </w:rPr>
              <w:t>申请科室ID</w:t>
            </w:r>
          </w:p>
        </w:tc>
      </w:tr>
      <w:tr w14:paraId="51247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3381FC8">
            <w:pPr>
              <w:pStyle w:val="24"/>
              <w:jc w:val="left"/>
            </w:pPr>
            <w:r>
              <w:t>material_id</w:t>
            </w:r>
          </w:p>
        </w:tc>
        <w:tc>
          <w:p w14:paraId="03B75628">
            <w:pPr>
              <w:pStyle w:val="24"/>
              <w:jc w:val="left"/>
            </w:pPr>
            <w:r>
              <w:t>BIGINT</w:t>
            </w:r>
          </w:p>
        </w:tc>
        <w:tc>
          <w:p w14:paraId="0A2A82AA">
            <w:pPr>
              <w:pStyle w:val="24"/>
              <w:jc w:val="left"/>
            </w:pPr>
            <w:r>
              <w:rPr>
                <w:rFonts w:hint="eastAsia"/>
              </w:rPr>
              <w:t>否</w:t>
            </w:r>
          </w:p>
        </w:tc>
        <w:tc>
          <w:p w14:paraId="6AEBBEA6">
            <w:pPr>
              <w:pStyle w:val="24"/>
              <w:jc w:val="left"/>
            </w:pPr>
            <w:r>
              <w:rPr>
                <w:rFonts w:hint="eastAsia"/>
              </w:rPr>
              <w:t>关联物资主数据表ID（若为新增物资可为空）</w:t>
            </w:r>
          </w:p>
        </w:tc>
      </w:tr>
      <w:tr w14:paraId="707F2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72853F58">
            <w:pPr>
              <w:pStyle w:val="24"/>
              <w:jc w:val="left"/>
            </w:pPr>
            <w:r>
              <w:t>material_name</w:t>
            </w:r>
          </w:p>
        </w:tc>
        <w:tc>
          <w:p w14:paraId="64A34A25">
            <w:pPr>
              <w:pStyle w:val="24"/>
              <w:jc w:val="left"/>
            </w:pPr>
            <w:r>
              <w:t>VARCHAR(255)</w:t>
            </w:r>
          </w:p>
        </w:tc>
        <w:tc>
          <w:p w14:paraId="774EB8E2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01EA00D3">
            <w:pPr>
              <w:pStyle w:val="24"/>
              <w:jc w:val="left"/>
            </w:pPr>
            <w:r>
              <w:rPr>
                <w:rFonts w:hint="eastAsia"/>
              </w:rPr>
              <w:t>物资/服务名称</w:t>
            </w:r>
          </w:p>
        </w:tc>
      </w:tr>
      <w:tr w14:paraId="590FC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5475851">
            <w:pPr>
              <w:pStyle w:val="24"/>
              <w:jc w:val="left"/>
            </w:pPr>
            <w:r>
              <w:t>quantity</w:t>
            </w:r>
          </w:p>
        </w:tc>
        <w:tc>
          <w:p w14:paraId="1A7714B0">
            <w:pPr>
              <w:pStyle w:val="24"/>
              <w:jc w:val="left"/>
            </w:pPr>
            <w:r>
              <w:t>INT</w:t>
            </w:r>
          </w:p>
        </w:tc>
        <w:tc>
          <w:p w14:paraId="4811CAD2">
            <w:pPr>
              <w:pStyle w:val="24"/>
              <w:jc w:val="left"/>
            </w:pPr>
            <w:r>
              <w:rPr>
                <w:rFonts w:hint="eastAsia"/>
              </w:rPr>
              <w:t>是</w:t>
            </w:r>
          </w:p>
        </w:tc>
        <w:tc>
          <w:p w14:paraId="6BEA3E44">
            <w:pPr>
              <w:pStyle w:val="24"/>
              <w:jc w:val="left"/>
            </w:pPr>
            <w:r>
              <w:rPr>
                <w:rFonts w:hint="eastAsia"/>
              </w:rPr>
              <w:t>申请数量</w:t>
            </w:r>
          </w:p>
        </w:tc>
      </w:tr>
      <w:tr w14:paraId="71464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E4E5CCF">
            <w:pPr>
              <w:pStyle w:val="24"/>
              <w:jc w:val="left"/>
            </w:pPr>
            <w:r>
              <w:t>estimated_budget</w:t>
            </w:r>
          </w:p>
        </w:tc>
        <w:tc>
          <w:p w14:paraId="263D4851">
            <w:pPr>
              <w:pStyle w:val="24"/>
              <w:jc w:val="left"/>
            </w:pPr>
            <w:r>
              <w:t>DECIMAL(12</w:t>
            </w:r>
          </w:p>
        </w:tc>
        <w:tc>
          <w:p w14:paraId="34934B99">
            <w:pPr>
              <w:pStyle w:val="24"/>
            </w:pPr>
          </w:p>
        </w:tc>
        <w:tc>
          <w:p w14:paraId="09C16A83">
            <w:pPr>
              <w:pStyle w:val="24"/>
            </w:pPr>
          </w:p>
        </w:tc>
      </w:tr>
      <w:bookmarkEnd w:id="0"/>
      <w:bookmarkEnd w:id="14"/>
      <w:bookmarkEnd w:id="15"/>
      <w:bookmarkEnd w:id="28"/>
    </w:tbl>
    <w:p w14:paraId="1B9FCD11"/>
    <w:sectPr>
      <w:footnotePr>
        <w:numRestart w:val="eachSect"/>
      </w:footnote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UI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UI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A991"/>
    <w:multiLevelType w:val="multilevel"/>
    <w:tmpl w:val="0000A991"/>
    <w:lvl w:ilvl="0" w:tentative="0">
      <w:start w:val="0"/>
      <w:numFmt w:val="bullet"/>
      <w:lvlText w:val="•"/>
      <w:lvlJc w:val="left"/>
      <w:pPr>
        <w:ind w:left="720" w:hanging="360"/>
      </w:pPr>
    </w:lvl>
    <w:lvl w:ilvl="1" w:tentative="0">
      <w:start w:val="0"/>
      <w:numFmt w:val="bullet"/>
      <w:lvlText w:val="◦"/>
      <w:lvlJc w:val="left"/>
      <w:pPr>
        <w:ind w:left="1440" w:hanging="360"/>
      </w:pPr>
    </w:lvl>
    <w:lvl w:ilvl="2" w:tentative="0">
      <w:start w:val="0"/>
      <w:numFmt w:val="bullet"/>
      <w:lvlText w:val="▪"/>
      <w:lvlJc w:val="left"/>
      <w:pPr>
        <w:ind w:left="2160" w:hanging="360"/>
      </w:pPr>
    </w:lvl>
    <w:lvl w:ilvl="3" w:tentative="0">
      <w:start w:val="0"/>
      <w:numFmt w:val="bullet"/>
      <w:lvlText w:val="•"/>
      <w:lvlJc w:val="left"/>
      <w:pPr>
        <w:ind w:left="2880" w:hanging="360"/>
      </w:pPr>
    </w:lvl>
    <w:lvl w:ilvl="4" w:tentative="0">
      <w:start w:val="0"/>
      <w:numFmt w:val="bullet"/>
      <w:lvlText w:val="◦"/>
      <w:lvlJc w:val="left"/>
      <w:pPr>
        <w:ind w:left="3600" w:hanging="360"/>
      </w:pPr>
    </w:lvl>
    <w:lvl w:ilvl="5" w:tentative="0">
      <w:start w:val="0"/>
      <w:numFmt w:val="bullet"/>
      <w:lvlText w:val="▪"/>
      <w:lvlJc w:val="left"/>
      <w:pPr>
        <w:ind w:left="4320" w:hanging="360"/>
      </w:pPr>
    </w:lvl>
    <w:lvl w:ilvl="6" w:tentative="0">
      <w:start w:val="0"/>
      <w:numFmt w:val="bullet"/>
      <w:lvlText w:val="•"/>
      <w:lvlJc w:val="left"/>
      <w:pPr>
        <w:ind w:left="5040" w:hanging="360"/>
      </w:pPr>
    </w:lvl>
    <w:lvl w:ilvl="7" w:tentative="0">
      <w:start w:val="0"/>
      <w:numFmt w:val="bullet"/>
      <w:lvlText w:val="◦"/>
      <w:lvlJc w:val="left"/>
      <w:pPr>
        <w:ind w:left="5760" w:hanging="360"/>
      </w:pPr>
    </w:lvl>
    <w:lvl w:ilvl="8" w:tentative="0">
      <w:start w:val="0"/>
      <w:numFmt w:val="bullet"/>
      <w:lvlText w:val="▪"/>
      <w:lvlJc w:val="left"/>
      <w:pPr>
        <w:ind w:left="6480" w:hanging="360"/>
      </w:pPr>
    </w:lvl>
  </w:abstractNum>
  <w:abstractNum w:abstractNumId="1">
    <w:nsid w:val="00A99411"/>
    <w:multiLevelType w:val="multilevel"/>
    <w:tmpl w:val="00A9941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000000"/>
    <w:rsid w:val="516F6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styleId="15">
    <w:name w:val="Title"/>
    <w:basedOn w:val="1"/>
    <w:next w:val="3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16">
    <w:name w:val="Subtitle"/>
    <w:basedOn w:val="15"/>
    <w:next w:val="3"/>
    <w:link w:val="26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156082" w:themeColor="accent1"/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character" w:customStyle="1" w:styleId="25">
    <w:name w:val="Title Char"/>
    <w:basedOn w:val="19"/>
    <w:link w:val="15"/>
    <w:uiPriority w:val="10"/>
    <w:rPr>
      <w:rFonts w:asciiTheme="majorHAnsi" w:hAnsiTheme="majorHAnsi" w:eastAsiaTheme="majorEastAsia" w:cstheme="majorBidi"/>
      <w:sz w:val="56"/>
      <w:szCs w:val="56"/>
    </w:rPr>
  </w:style>
  <w:style w:type="character" w:customStyle="1" w:styleId="26">
    <w:name w:val="Subtitle Char"/>
    <w:basedOn w:val="19"/>
    <w:link w:val="16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character" w:customStyle="1" w:styleId="31">
    <w:name w:val="Heading 1 Char"/>
    <w:basedOn w:val="19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9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9"/>
    <w:link w:val="5"/>
    <w:semiHidden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9"/>
    <w:link w:val="6"/>
    <w:semiHidden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9"/>
    <w:link w:val="7"/>
    <w:semiHidden/>
    <w:uiPriority w:val="9"/>
    <w:rPr>
      <w:rFonts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9"/>
    <w:link w:val="8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9"/>
    <w:link w:val="9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38">
    <w:name w:val="Heading 8 Char"/>
    <w:basedOn w:val="19"/>
    <w:link w:val="10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9"/>
    <w:link w:val="11"/>
    <w:semiHidden/>
    <w:uiPriority w:val="9"/>
    <w:rPr>
      <w:rFonts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7"/>
    <w:next w:val="17"/>
    <w:unhideWhenUsed/>
    <w:qFormat/>
    <w:uiPriority w:val="9"/>
    <w:pPr>
      <w:spacing w:before="100" w:after="100"/>
      <w:ind w:left="480" w:right="480" w:firstLine="0"/>
    </w:pPr>
  </w:style>
  <w:style w:type="table" w:customStyle="1" w:styleId="4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qFormat/>
    <w:uiPriority w:val="0"/>
    <w:pPr>
      <w:keepNext/>
      <w:keepLines/>
      <w:spacing w:after="0"/>
    </w:pPr>
    <w:rPr>
      <w:b/>
    </w:rPr>
  </w:style>
  <w:style w:type="paragraph" w:customStyle="1" w:styleId="43">
    <w:name w:val="Definition"/>
    <w:basedOn w:val="1"/>
    <w:qFormat/>
    <w:uiPriority w:val="0"/>
  </w:style>
  <w:style w:type="paragraph" w:customStyle="1" w:styleId="44">
    <w:name w:val="Table Caption"/>
    <w:basedOn w:val="12"/>
    <w:qFormat/>
    <w:uiPriority w:val="0"/>
    <w:pPr>
      <w:keepNext/>
    </w:pPr>
  </w:style>
  <w:style w:type="paragraph" w:customStyle="1" w:styleId="45">
    <w:name w:val="Image Caption"/>
    <w:basedOn w:val="12"/>
    <w:qFormat/>
    <w:uiPriority w:val="0"/>
  </w:style>
  <w:style w:type="paragraph" w:customStyle="1" w:styleId="46">
    <w:name w:val="Figure"/>
    <w:basedOn w:val="1"/>
    <w:qFormat/>
    <w:uiPriority w:val="0"/>
  </w:style>
  <w:style w:type="paragraph" w:customStyle="1" w:styleId="47">
    <w:name w:val="Captioned Figure"/>
    <w:basedOn w:val="46"/>
    <w:qFormat/>
    <w:uiPriority w:val="0"/>
    <w:pPr>
      <w:keepNext/>
    </w:pPr>
  </w:style>
  <w:style w:type="character" w:customStyle="1" w:styleId="48">
    <w:name w:val="Verbatim Char"/>
    <w:basedOn w:val="21"/>
    <w:link w:val="49"/>
    <w:qFormat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qFormat/>
    <w:uiPriority w:val="0"/>
    <w:pPr>
      <w:wordWrap w:val="0"/>
    </w:pPr>
  </w:style>
  <w:style w:type="character" w:customStyle="1" w:styleId="50">
    <w:name w:val="Section Number"/>
    <w:basedOn w:val="21"/>
    <w:qFormat/>
    <w:uiPriority w:val="0"/>
  </w:style>
  <w:style w:type="paragraph" w:customStyle="1" w:styleId="51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customStyle="1" w:styleId="52">
    <w:name w:val="KeywordTok"/>
    <w:basedOn w:val="48"/>
    <w:qFormat/>
    <w:uiPriority w:val="0"/>
    <w:rPr>
      <w:b/>
      <w:color w:val="007020"/>
    </w:rPr>
  </w:style>
  <w:style w:type="character" w:customStyle="1" w:styleId="53">
    <w:name w:val="DataTypeTok"/>
    <w:basedOn w:val="48"/>
    <w:qFormat/>
    <w:uiPriority w:val="0"/>
    <w:rPr>
      <w:color w:val="902000"/>
    </w:rPr>
  </w:style>
  <w:style w:type="character" w:customStyle="1" w:styleId="54">
    <w:name w:val="DecValTok"/>
    <w:basedOn w:val="48"/>
    <w:qFormat/>
    <w:uiPriority w:val="0"/>
    <w:rPr>
      <w:color w:val="40A070"/>
    </w:rPr>
  </w:style>
  <w:style w:type="character" w:customStyle="1" w:styleId="55">
    <w:name w:val="BaseNTok"/>
    <w:basedOn w:val="48"/>
    <w:qFormat/>
    <w:uiPriority w:val="0"/>
    <w:rPr>
      <w:color w:val="40A070"/>
    </w:rPr>
  </w:style>
  <w:style w:type="character" w:customStyle="1" w:styleId="56">
    <w:name w:val="FloatTok"/>
    <w:basedOn w:val="48"/>
    <w:qFormat/>
    <w:uiPriority w:val="0"/>
    <w:rPr>
      <w:color w:val="40A070"/>
    </w:rPr>
  </w:style>
  <w:style w:type="character" w:customStyle="1" w:styleId="57">
    <w:name w:val="ConstantTok"/>
    <w:basedOn w:val="48"/>
    <w:qFormat/>
    <w:uiPriority w:val="0"/>
    <w:rPr>
      <w:color w:val="880000"/>
    </w:rPr>
  </w:style>
  <w:style w:type="character" w:customStyle="1" w:styleId="58">
    <w:name w:val="CharTok"/>
    <w:basedOn w:val="48"/>
    <w:qFormat/>
    <w:uiPriority w:val="0"/>
    <w:rPr>
      <w:color w:val="4070A0"/>
    </w:rPr>
  </w:style>
  <w:style w:type="character" w:customStyle="1" w:styleId="59">
    <w:name w:val="SpecialCharTok"/>
    <w:basedOn w:val="48"/>
    <w:qFormat/>
    <w:uiPriority w:val="0"/>
    <w:rPr>
      <w:color w:val="4070A0"/>
    </w:rPr>
  </w:style>
  <w:style w:type="character" w:customStyle="1" w:styleId="60">
    <w:name w:val="StringTok"/>
    <w:basedOn w:val="48"/>
    <w:qFormat/>
    <w:uiPriority w:val="0"/>
    <w:rPr>
      <w:color w:val="4070A0"/>
    </w:rPr>
  </w:style>
  <w:style w:type="character" w:customStyle="1" w:styleId="61">
    <w:name w:val="VerbatimStringTok"/>
    <w:basedOn w:val="48"/>
    <w:qFormat/>
    <w:uiPriority w:val="0"/>
    <w:rPr>
      <w:color w:val="4070A0"/>
    </w:rPr>
  </w:style>
  <w:style w:type="character" w:customStyle="1" w:styleId="62">
    <w:name w:val="SpecialStringTok"/>
    <w:basedOn w:val="48"/>
    <w:qFormat/>
    <w:uiPriority w:val="0"/>
    <w:rPr>
      <w:color w:val="BB6688"/>
    </w:rPr>
  </w:style>
  <w:style w:type="character" w:customStyle="1" w:styleId="63">
    <w:name w:val="ImportTok"/>
    <w:basedOn w:val="48"/>
    <w:qFormat/>
    <w:uiPriority w:val="0"/>
    <w:rPr>
      <w:b/>
      <w:color w:val="008000"/>
    </w:rPr>
  </w:style>
  <w:style w:type="character" w:customStyle="1" w:styleId="64">
    <w:name w:val="CommentTok"/>
    <w:basedOn w:val="48"/>
    <w:qFormat/>
    <w:uiPriority w:val="0"/>
    <w:rPr>
      <w:i/>
      <w:color w:val="60A0B0"/>
    </w:rPr>
  </w:style>
  <w:style w:type="character" w:customStyle="1" w:styleId="65">
    <w:name w:val="DocumentationTok"/>
    <w:basedOn w:val="48"/>
    <w:qFormat/>
    <w:uiPriority w:val="0"/>
    <w:rPr>
      <w:i/>
      <w:color w:val="BA2121"/>
    </w:rPr>
  </w:style>
  <w:style w:type="character" w:customStyle="1" w:styleId="66">
    <w:name w:val="AnnotationTok"/>
    <w:basedOn w:val="48"/>
    <w:qFormat/>
    <w:uiPriority w:val="0"/>
    <w:rPr>
      <w:b/>
      <w:i/>
      <w:color w:val="60A0B0"/>
    </w:rPr>
  </w:style>
  <w:style w:type="character" w:customStyle="1" w:styleId="67">
    <w:name w:val="CommentVarTok"/>
    <w:basedOn w:val="48"/>
    <w:qFormat/>
    <w:uiPriority w:val="0"/>
    <w:rPr>
      <w:b/>
      <w:i/>
      <w:color w:val="60A0B0"/>
    </w:rPr>
  </w:style>
  <w:style w:type="character" w:customStyle="1" w:styleId="68">
    <w:name w:val="OtherTok"/>
    <w:basedOn w:val="48"/>
    <w:qFormat/>
    <w:uiPriority w:val="0"/>
    <w:rPr>
      <w:color w:val="007020"/>
    </w:rPr>
  </w:style>
  <w:style w:type="character" w:customStyle="1" w:styleId="69">
    <w:name w:val="FunctionTok"/>
    <w:basedOn w:val="48"/>
    <w:qFormat/>
    <w:uiPriority w:val="0"/>
    <w:rPr>
      <w:color w:val="06287E"/>
    </w:rPr>
  </w:style>
  <w:style w:type="character" w:customStyle="1" w:styleId="70">
    <w:name w:val="VariableTok"/>
    <w:basedOn w:val="48"/>
    <w:qFormat/>
    <w:uiPriority w:val="0"/>
    <w:rPr>
      <w:color w:val="19177C"/>
    </w:rPr>
  </w:style>
  <w:style w:type="character" w:customStyle="1" w:styleId="71">
    <w:name w:val="ControlFlowTok"/>
    <w:basedOn w:val="48"/>
    <w:qFormat/>
    <w:uiPriority w:val="0"/>
    <w:rPr>
      <w:b/>
      <w:color w:val="007020"/>
    </w:rPr>
  </w:style>
  <w:style w:type="character" w:customStyle="1" w:styleId="72">
    <w:name w:val="OperatorTok"/>
    <w:basedOn w:val="48"/>
    <w:qFormat/>
    <w:uiPriority w:val="0"/>
    <w:rPr>
      <w:color w:val="666666"/>
    </w:rPr>
  </w:style>
  <w:style w:type="character" w:customStyle="1" w:styleId="73">
    <w:name w:val="BuiltInTok"/>
    <w:basedOn w:val="48"/>
    <w:qFormat/>
    <w:uiPriority w:val="0"/>
    <w:rPr>
      <w:color w:val="008000"/>
    </w:rPr>
  </w:style>
  <w:style w:type="character" w:customStyle="1" w:styleId="74">
    <w:name w:val="ExtensionTok"/>
    <w:basedOn w:val="48"/>
    <w:qFormat/>
    <w:uiPriority w:val="0"/>
  </w:style>
  <w:style w:type="character" w:customStyle="1" w:styleId="75">
    <w:name w:val="PreprocessorTok"/>
    <w:basedOn w:val="48"/>
    <w:qFormat/>
    <w:uiPriority w:val="0"/>
    <w:rPr>
      <w:color w:val="BC7A00"/>
    </w:rPr>
  </w:style>
  <w:style w:type="character" w:customStyle="1" w:styleId="76">
    <w:name w:val="AttributeTok"/>
    <w:basedOn w:val="48"/>
    <w:qFormat/>
    <w:uiPriority w:val="0"/>
    <w:rPr>
      <w:color w:val="7D9029"/>
    </w:rPr>
  </w:style>
  <w:style w:type="character" w:customStyle="1" w:styleId="77">
    <w:name w:val="RegionMarkerTok"/>
    <w:basedOn w:val="48"/>
    <w:qFormat/>
    <w:uiPriority w:val="0"/>
  </w:style>
  <w:style w:type="character" w:customStyle="1" w:styleId="78">
    <w:name w:val="InformationTok"/>
    <w:basedOn w:val="48"/>
    <w:qFormat/>
    <w:uiPriority w:val="0"/>
    <w:rPr>
      <w:b/>
      <w:i/>
      <w:color w:val="60A0B0"/>
    </w:rPr>
  </w:style>
  <w:style w:type="character" w:customStyle="1" w:styleId="79">
    <w:name w:val="WarningTok"/>
    <w:basedOn w:val="48"/>
    <w:qFormat/>
    <w:uiPriority w:val="0"/>
    <w:rPr>
      <w:b/>
      <w:i/>
      <w:color w:val="60A0B0"/>
    </w:rPr>
  </w:style>
  <w:style w:type="character" w:customStyle="1" w:styleId="80">
    <w:name w:val="AlertTok"/>
    <w:basedOn w:val="48"/>
    <w:qFormat/>
    <w:uiPriority w:val="0"/>
    <w:rPr>
      <w:b/>
      <w:color w:val="FF0000"/>
    </w:rPr>
  </w:style>
  <w:style w:type="character" w:customStyle="1" w:styleId="81">
    <w:name w:val="ErrorTok"/>
    <w:basedOn w:val="48"/>
    <w:qFormat/>
    <w:uiPriority w:val="0"/>
    <w:rPr>
      <w:b/>
      <w:color w:val="FF0000"/>
    </w:rPr>
  </w:style>
  <w:style w:type="character" w:customStyle="1" w:styleId="82">
    <w:name w:val="NormalTok"/>
    <w:basedOn w:val="4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4742</Words>
  <Characters>6744</Characters>
  <Lines>12</Lines>
  <Paragraphs>8</Paragraphs>
  <TotalTime>6</TotalTime>
  <ScaleCrop>false</ScaleCrop>
  <LinksUpToDate>false</LinksUpToDate>
  <CharactersWithSpaces>6826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2026-06-30T09:08:00Z</dcterms:created>
  <dc:creator>老鹰</dc:creator>
  <cp:lastModifiedBy>老鹰</cp:lastModifiedBy>
  <dcterms:modified xsi:type="dcterms:W3CDTF">2026-07-01T01:45:32Z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eyJoZGlkIjoiMzk1MzkyY2YyZGZmNzBiM2EwYWY3OTJiM2I1N2FkYmEiLCJ1c2VySWQiOiI1NzYxOTYxOTAifQ==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EFE2B67735AE4347B784DD3A9CA3051A_12</vt:lpwstr>
  </property>
</Properties>
</file>